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隶书"/>
          <w:b/>
          <w:bCs/>
          <w:sz w:val="48"/>
        </w:rPr>
      </w:pPr>
    </w:p>
    <w:tbl>
      <w:tblPr>
        <w:tblStyle w:val="16"/>
        <w:tblpPr w:leftFromText="180" w:rightFromText="180" w:vertAnchor="page" w:horzAnchor="page" w:tblpX="6162" w:tblpY="15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sz w:val="24"/>
              </w:rPr>
            </w:pPr>
            <w:r>
              <w:rPr>
                <w:rFonts w:hint="eastAsia" w:eastAsia="隶书"/>
                <w:b/>
                <w:bCs/>
                <w:sz w:val="24"/>
              </w:rPr>
              <w:t>所属类别</w:t>
            </w:r>
          </w:p>
        </w:tc>
        <w:tc>
          <w:tcPr>
            <w:tcW w:w="2961" w:type="dxa"/>
            <w:vAlign w:val="center"/>
          </w:tcPr>
          <w:p>
            <w:pPr>
              <w:jc w:val="center"/>
              <w:rPr>
                <w:rFonts w:eastAsia="隶书"/>
                <w:b/>
                <w:bCs/>
                <w:sz w:val="24"/>
              </w:rPr>
            </w:pPr>
            <w:r>
              <w:rPr>
                <w:rFonts w:hint="eastAsia" w:eastAsia="隶书"/>
                <w:b/>
                <w:bCs/>
                <w:sz w:val="24"/>
              </w:rPr>
              <w:t>鉴定评审质量管理体系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717" w:type="dxa"/>
          </w:tcPr>
          <w:p>
            <w:pPr>
              <w:rPr>
                <w:rFonts w:eastAsia="隶书"/>
                <w:b/>
                <w:bCs/>
                <w:sz w:val="24"/>
              </w:rPr>
            </w:pPr>
            <w:r>
              <w:rPr>
                <w:rFonts w:hint="eastAsia" w:eastAsia="隶书"/>
                <w:b/>
                <w:bCs/>
                <w:sz w:val="24"/>
              </w:rPr>
              <w:t>文 件 号</w:t>
            </w:r>
          </w:p>
        </w:tc>
        <w:tc>
          <w:tcPr>
            <w:tcW w:w="2961" w:type="dxa"/>
            <w:vAlign w:val="center"/>
          </w:tcPr>
          <w:p>
            <w:pPr>
              <w:jc w:val="center"/>
              <w:rPr>
                <w:rFonts w:eastAsia="隶书"/>
                <w:b/>
                <w:bCs/>
                <w:sz w:val="24"/>
              </w:rPr>
            </w:pPr>
            <w:r>
              <w:rPr>
                <w:rFonts w:hint="eastAsia" w:eastAsia="隶书"/>
                <w:b/>
                <w:bCs/>
                <w:sz w:val="24"/>
              </w:rPr>
              <w:t>XTXPS/ZN-FJC-2022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sz w:val="24"/>
              </w:rPr>
            </w:pPr>
            <w:r>
              <w:rPr>
                <w:rFonts w:hint="eastAsia" w:eastAsia="隶书"/>
                <w:b/>
                <w:bCs/>
                <w:sz w:val="24"/>
              </w:rPr>
              <w:t>受控状态</w:t>
            </w:r>
          </w:p>
        </w:tc>
        <w:tc>
          <w:tcPr>
            <w:tcW w:w="2961" w:type="dxa"/>
          </w:tcPr>
          <w:p>
            <w:pPr>
              <w:rPr>
                <w:sz w:val="24"/>
              </w:rPr>
            </w:pPr>
            <w:r>
              <w:rPr>
                <w:rFonts w:hint="eastAsia" w:eastAsia="隶书"/>
                <w:b/>
                <w:bCs/>
                <w:sz w:val="24"/>
              </w:rPr>
              <w:t xml:space="preserve">    受控□非受控□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rPr>
                <w:rFonts w:eastAsia="隶书"/>
                <w:b/>
                <w:bCs/>
                <w:sz w:val="24"/>
              </w:rPr>
            </w:pPr>
            <w:r>
              <w:rPr>
                <w:rFonts w:hint="eastAsia" w:eastAsia="隶书"/>
                <w:b/>
                <w:bCs/>
                <w:sz w:val="24"/>
              </w:rPr>
              <w:t>发 放 号</w:t>
            </w:r>
          </w:p>
        </w:tc>
        <w:tc>
          <w:tcPr>
            <w:tcW w:w="2961" w:type="dxa"/>
          </w:tcPr>
          <w:p>
            <w:pPr>
              <w:rPr>
                <w:sz w:val="24"/>
              </w:rPr>
            </w:pPr>
          </w:p>
        </w:tc>
      </w:tr>
    </w:tbl>
    <w:p>
      <w:pPr>
        <w:rPr>
          <w:rFonts w:eastAsia="隶书"/>
          <w:b/>
          <w:bCs/>
          <w:sz w:val="48"/>
        </w:rPr>
      </w:pPr>
    </w:p>
    <w:p>
      <w:pPr>
        <w:rPr>
          <w:rFonts w:eastAsia="隶书"/>
          <w:b/>
          <w:bCs/>
          <w:sz w:val="48"/>
        </w:rPr>
      </w:pPr>
    </w:p>
    <w:p>
      <w:pPr>
        <w:rPr>
          <w:rFonts w:eastAsia="隶书"/>
          <w:b/>
          <w:bCs/>
          <w:sz w:val="48"/>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隶书" w:hAnsi="宋体" w:eastAsia="隶书" w:cs="宋体"/>
          <w:b/>
          <w:bCs/>
          <w:spacing w:val="23"/>
          <w:sz w:val="84"/>
          <w:szCs w:val="84"/>
          <w:lang w:val="en-US" w:eastAsia="zh-CN"/>
        </w:rPr>
      </w:pPr>
      <w:r>
        <w:rPr>
          <w:rFonts w:hint="eastAsia" w:ascii="隶书" w:hAnsi="宋体" w:eastAsia="隶书" w:cs="宋体"/>
          <w:b/>
          <w:bCs/>
          <w:spacing w:val="23"/>
          <w:sz w:val="84"/>
          <w:szCs w:val="84"/>
        </w:rPr>
        <w:t>特种设备</w:t>
      </w:r>
      <w:r>
        <w:rPr>
          <w:rFonts w:hint="eastAsia" w:ascii="隶书" w:hAnsi="宋体" w:eastAsia="隶书" w:cs="宋体"/>
          <w:b/>
          <w:bCs/>
          <w:spacing w:val="23"/>
          <w:sz w:val="84"/>
          <w:szCs w:val="84"/>
          <w:lang w:val="en-US" w:eastAsia="zh-CN"/>
        </w:rPr>
        <w:t>行政许可</w:t>
      </w:r>
    </w:p>
    <w:p>
      <w:pPr>
        <w:spacing w:line="800" w:lineRule="exact"/>
        <w:jc w:val="center"/>
        <w:rPr>
          <w:rFonts w:ascii="隶书" w:hAnsi="宋体" w:eastAsia="隶书" w:cs="宋体"/>
          <w:b/>
          <w:bCs/>
          <w:sz w:val="84"/>
          <w:szCs w:val="84"/>
        </w:rPr>
      </w:pPr>
      <w:r>
        <w:rPr>
          <w:rFonts w:hint="eastAsia" w:ascii="隶书" w:hAnsi="宋体" w:eastAsia="隶书" w:cs="宋体"/>
          <w:b/>
          <w:bCs/>
          <w:spacing w:val="0"/>
          <w:sz w:val="84"/>
          <w:szCs w:val="84"/>
          <w:lang w:val="en-US" w:eastAsia="zh-CN"/>
        </w:rPr>
        <w:t>现场</w:t>
      </w:r>
      <w:r>
        <w:rPr>
          <w:rFonts w:hint="eastAsia" w:ascii="隶书" w:hAnsi="宋体" w:eastAsia="隶书" w:cs="宋体"/>
          <w:b/>
          <w:bCs/>
          <w:spacing w:val="0"/>
          <w:sz w:val="84"/>
          <w:szCs w:val="84"/>
        </w:rPr>
        <w:t>鉴定评审指南</w:t>
      </w:r>
    </w:p>
    <w:p>
      <w:pPr>
        <w:spacing w:before="312" w:beforeLines="100" w:line="800" w:lineRule="exact"/>
        <w:jc w:val="center"/>
        <w:rPr>
          <w:rFonts w:ascii="隶书" w:hAnsi="宋体" w:eastAsia="隶书" w:cs="宋体"/>
          <w:b/>
          <w:bCs/>
          <w:sz w:val="84"/>
          <w:szCs w:val="84"/>
        </w:rPr>
      </w:pPr>
      <w:r>
        <w:rPr>
          <w:rFonts w:hint="eastAsia" w:ascii="隶书" w:hAnsi="宋体" w:eastAsia="隶书" w:cs="宋体"/>
          <w:b/>
          <w:bCs/>
          <w:sz w:val="84"/>
          <w:szCs w:val="84"/>
        </w:rPr>
        <w:t>第</w:t>
      </w:r>
      <w:r>
        <w:rPr>
          <w:rFonts w:ascii="隶书" w:hAnsi="宋体" w:eastAsia="隶书" w:cs="宋体"/>
          <w:b/>
          <w:bCs/>
          <w:sz w:val="72"/>
          <w:szCs w:val="72"/>
        </w:rPr>
        <w:t>19</w:t>
      </w:r>
      <w:r>
        <w:rPr>
          <w:rFonts w:hint="eastAsia" w:ascii="隶书" w:hAnsi="宋体" w:eastAsia="隶书" w:cs="宋体"/>
          <w:b/>
          <w:bCs/>
          <w:sz w:val="84"/>
          <w:szCs w:val="84"/>
        </w:rPr>
        <w:t>部分 专用指南</w:t>
      </w:r>
    </w:p>
    <w:p>
      <w:pPr>
        <w:spacing w:line="800" w:lineRule="exact"/>
        <w:jc w:val="center"/>
        <w:rPr>
          <w:rFonts w:ascii="隶书" w:hAnsi="宋体" w:eastAsia="隶书" w:cs="宋体"/>
          <w:b/>
          <w:bCs/>
          <w:sz w:val="84"/>
          <w:szCs w:val="84"/>
        </w:rPr>
      </w:pPr>
      <w:r>
        <w:rPr>
          <w:rFonts w:hint="eastAsia" w:ascii="隶书" w:hAnsi="宋体" w:eastAsia="隶书" w:cs="宋体"/>
          <w:b/>
          <w:bCs/>
          <w:sz w:val="84"/>
          <w:szCs w:val="84"/>
        </w:rPr>
        <w:t>安全阀校验机构</w:t>
      </w:r>
    </w:p>
    <w:p>
      <w:pPr>
        <w:jc w:val="center"/>
        <w:rPr>
          <w:rFonts w:ascii="宋体" w:hAnsi="宋体"/>
          <w:b/>
          <w:bCs/>
          <w:sz w:val="32"/>
          <w:szCs w:val="32"/>
        </w:rPr>
      </w:pPr>
    </w:p>
    <w:p>
      <w:pPr>
        <w:jc w:val="center"/>
        <w:rPr>
          <w:rFonts w:eastAsia="隶书"/>
          <w:b/>
          <w:bCs/>
          <w:sz w:val="36"/>
        </w:rPr>
      </w:pPr>
    </w:p>
    <w:p>
      <w:pPr>
        <w:jc w:val="center"/>
        <w:rPr>
          <w:rFonts w:eastAsia="隶书"/>
          <w:b/>
          <w:bCs/>
          <w:sz w:val="36"/>
        </w:rPr>
      </w:pPr>
    </w:p>
    <w:p>
      <w:pPr>
        <w:spacing w:line="360" w:lineRule="auto"/>
        <w:jc w:val="left"/>
        <w:rPr>
          <w:rFonts w:hint="eastAsia" w:ascii="隶书" w:hAnsi="黑体" w:eastAsia="隶书"/>
          <w:sz w:val="52"/>
          <w:szCs w:val="52"/>
        </w:rPr>
      </w:pPr>
      <w:r>
        <w:rPr>
          <w:rFonts w:hint="eastAsia" w:ascii="隶书" w:hAnsi="黑体" w:eastAsia="隶书"/>
          <w:sz w:val="52"/>
          <w:szCs w:val="52"/>
        </w:rPr>
        <w:t xml:space="preserve">          </w:t>
      </w:r>
    </w:p>
    <w:p>
      <w:pPr>
        <w:spacing w:line="360" w:lineRule="auto"/>
        <w:jc w:val="left"/>
        <w:rPr>
          <w:rFonts w:hint="eastAsia" w:ascii="隶书" w:hAnsi="黑体" w:eastAsia="隶书"/>
          <w:sz w:val="52"/>
          <w:szCs w:val="52"/>
        </w:rPr>
      </w:pPr>
    </w:p>
    <w:p>
      <w:pPr>
        <w:spacing w:line="360" w:lineRule="auto"/>
        <w:jc w:val="left"/>
        <w:rPr>
          <w:rFonts w:ascii="隶书" w:hAnsi="黑体" w:eastAsia="隶书"/>
          <w:sz w:val="52"/>
          <w:szCs w:val="52"/>
        </w:rPr>
      </w:pPr>
      <w:bookmarkStart w:id="8" w:name="_GoBack"/>
      <w:bookmarkEnd w:id="8"/>
      <w:r>
        <w:rPr>
          <w:rFonts w:hint="eastAsia" w:ascii="隶书" w:hAnsi="黑体" w:eastAsia="隶书"/>
          <w:sz w:val="52"/>
          <w:szCs w:val="52"/>
        </w:rPr>
        <w:t xml:space="preserve"> </w:t>
      </w:r>
    </w:p>
    <w:p>
      <w:pPr>
        <w:jc w:val="center"/>
        <w:rPr>
          <w:rFonts w:eastAsia="隶书"/>
          <w:b/>
          <w:bCs/>
          <w:sz w:val="30"/>
        </w:rPr>
      </w:pPr>
    </w:p>
    <w:p>
      <w:pPr>
        <w:jc w:val="center"/>
        <w:rPr>
          <w:rFonts w:eastAsia="隶书"/>
          <w:b/>
          <w:bCs/>
          <w:sz w:val="30"/>
        </w:rPr>
      </w:pPr>
    </w:p>
    <w:p>
      <w:pPr>
        <w:rPr>
          <w:rFonts w:eastAsia="隶书"/>
          <w:b/>
          <w:bCs/>
          <w:sz w:val="30"/>
        </w:rPr>
      </w:pPr>
    </w:p>
    <w:p>
      <w:pPr>
        <w:jc w:val="center"/>
        <w:rPr>
          <w:rFonts w:eastAsia="隶书"/>
          <w:spacing w:val="-6"/>
          <w:sz w:val="32"/>
        </w:rPr>
      </w:pPr>
      <w:r>
        <w:rPr>
          <w:rFonts w:hint="eastAsia" w:eastAsia="隶书"/>
          <w:b/>
          <w:sz w:val="48"/>
        </w:rPr>
        <w:t>湖南省特种设备协会</w:t>
      </w:r>
    </w:p>
    <w:p>
      <w:pPr>
        <w:widowControl/>
        <w:spacing w:line="240" w:lineRule="auto"/>
        <w:jc w:val="left"/>
        <w:rPr>
          <w:rFonts w:ascii="黑体" w:hAnsi="黑体" w:eastAsia="黑体"/>
          <w:b/>
          <w:sz w:val="32"/>
          <w:szCs w:val="32"/>
        </w:rPr>
      </w:pPr>
    </w:p>
    <w:p>
      <w:pPr>
        <w:spacing w:before="312" w:beforeLines="100" w:after="100" w:afterAutospacing="1" w:line="400" w:lineRule="exact"/>
        <w:jc w:val="center"/>
        <w:outlineLvl w:val="0"/>
        <w:rPr>
          <w:rFonts w:ascii="黑体" w:hAnsi="黑体" w:eastAsia="黑体"/>
          <w:b/>
          <w:sz w:val="32"/>
          <w:szCs w:val="32"/>
        </w:rPr>
        <w:sectPr>
          <w:headerReference r:id="rId5" w:type="default"/>
          <w:footerReference r:id="rId6" w:type="default"/>
          <w:pgSz w:w="11906" w:h="16838"/>
          <w:pgMar w:top="1304" w:right="1134" w:bottom="1021" w:left="1588" w:header="851" w:footer="992" w:gutter="0"/>
          <w:pgNumType w:fmt="numberInDash" w:start="1"/>
          <w:cols w:space="720" w:num="1"/>
          <w:docGrid w:type="lines" w:linePitch="312" w:charSpace="0"/>
        </w:sectPr>
      </w:pPr>
      <w:bookmarkStart w:id="0" w:name="OLE_LINK53"/>
      <w:bookmarkStart w:id="1" w:name="OLE_LINK54"/>
    </w:p>
    <w:p>
      <w:pPr>
        <w:spacing w:before="312" w:beforeLines="100" w:after="100" w:afterAutospacing="1" w:line="400" w:lineRule="exact"/>
        <w:jc w:val="center"/>
        <w:outlineLvl w:val="0"/>
        <w:rPr>
          <w:rFonts w:hint="eastAsia" w:ascii="黑体" w:hAnsi="黑体" w:eastAsia="黑体"/>
          <w:b/>
          <w:sz w:val="32"/>
          <w:szCs w:val="32"/>
          <w:lang w:val="en-US" w:eastAsia="zh-CN"/>
        </w:rPr>
      </w:pPr>
      <w:r>
        <w:rPr>
          <w:rFonts w:hint="eastAsia" w:ascii="黑体" w:hAnsi="黑体" w:eastAsia="黑体"/>
          <w:b/>
          <w:sz w:val="32"/>
          <w:szCs w:val="32"/>
          <w:lang w:eastAsia="zh-CN"/>
        </w:rPr>
        <w:t>特种设备行政许可现场鉴定评审指南</w:t>
      </w:r>
    </w:p>
    <w:p>
      <w:pPr>
        <w:spacing w:before="312" w:beforeLines="100" w:after="100" w:afterAutospacing="1" w:line="400" w:lineRule="exact"/>
        <w:jc w:val="center"/>
        <w:outlineLvl w:val="0"/>
        <w:rPr>
          <w:rFonts w:ascii="黑体" w:hAnsi="黑体" w:eastAsia="黑体"/>
          <w:b/>
          <w:sz w:val="32"/>
          <w:szCs w:val="32"/>
        </w:rPr>
      </w:pPr>
      <w:r>
        <w:rPr>
          <w:rFonts w:hint="eastAsia" w:ascii="黑体" w:hAnsi="黑体" w:eastAsia="黑体"/>
          <w:b/>
          <w:sz w:val="32"/>
          <w:szCs w:val="32"/>
        </w:rPr>
        <w:t>第</w:t>
      </w:r>
      <w:r>
        <w:rPr>
          <w:rFonts w:ascii="黑体" w:hAnsi="黑体" w:eastAsia="黑体"/>
          <w:b/>
          <w:sz w:val="32"/>
          <w:szCs w:val="32"/>
        </w:rPr>
        <w:t>19</w:t>
      </w:r>
      <w:r>
        <w:rPr>
          <w:rFonts w:hint="eastAsia" w:ascii="黑体" w:hAnsi="黑体" w:eastAsia="黑体"/>
          <w:b/>
          <w:sz w:val="32"/>
          <w:szCs w:val="32"/>
        </w:rPr>
        <w:t>部分 专用指南</w:t>
      </w:r>
      <w:r>
        <w:rPr>
          <w:rFonts w:hint="eastAsia" w:ascii="黑体" w:hAnsi="黑体" w:eastAsia="黑体"/>
          <w:b/>
          <w:sz w:val="32"/>
          <w:szCs w:val="32"/>
          <w:lang w:val="en-US" w:eastAsia="zh-CN"/>
        </w:rPr>
        <w:t xml:space="preserve"> </w:t>
      </w:r>
      <w:r>
        <w:rPr>
          <w:rFonts w:hint="eastAsia" w:ascii="黑体" w:hAnsi="黑体" w:eastAsia="黑体"/>
          <w:b/>
          <w:sz w:val="32"/>
          <w:szCs w:val="32"/>
        </w:rPr>
        <w:t>安全阀校验机构</w:t>
      </w:r>
    </w:p>
    <w:bookmarkEnd w:id="0"/>
    <w:bookmarkEnd w:id="1"/>
    <w:p>
      <w:pPr>
        <w:spacing w:line="480" w:lineRule="auto"/>
        <w:outlineLvl w:val="0"/>
        <w:rPr>
          <w:rFonts w:ascii="宋体" w:hAnsi="宋体" w:cs="黑体"/>
          <w:b/>
          <w:sz w:val="24"/>
        </w:rPr>
      </w:pPr>
      <w:bookmarkStart w:id="2" w:name="OLE_LINK125"/>
      <w:bookmarkStart w:id="3" w:name="OLE_LINK124"/>
      <w:r>
        <w:rPr>
          <w:rFonts w:hint="eastAsia" w:ascii="宋体" w:hAnsi="宋体" w:cs="黑体"/>
          <w:b/>
          <w:sz w:val="24"/>
        </w:rPr>
        <w:t>1  范围</w:t>
      </w:r>
    </w:p>
    <w:bookmarkEnd w:id="2"/>
    <w:bookmarkEnd w:id="3"/>
    <w:p>
      <w:pPr>
        <w:spacing w:line="360" w:lineRule="auto"/>
        <w:ind w:firstLine="480" w:firstLineChars="200"/>
        <w:rPr>
          <w:rFonts w:ascii="宋体" w:hAnsi="宋体"/>
          <w:sz w:val="24"/>
        </w:rPr>
      </w:pPr>
      <w:r>
        <w:rPr>
          <w:rFonts w:hint="eastAsia" w:ascii="宋体" w:hAnsi="宋体"/>
          <w:sz w:val="24"/>
        </w:rPr>
        <w:t>本部分为</w:t>
      </w:r>
      <w:r>
        <w:rPr>
          <w:rFonts w:hint="eastAsia" w:ascii="宋体" w:hAnsi="宋体"/>
          <w:sz w:val="24"/>
          <w:lang w:eastAsia="zh-CN"/>
        </w:rPr>
        <w:t>特种设备行政许可现场鉴定评审指南</w:t>
      </w:r>
      <w:r>
        <w:rPr>
          <w:rFonts w:hint="eastAsia" w:ascii="宋体" w:hAnsi="宋体"/>
          <w:sz w:val="24"/>
        </w:rPr>
        <w:t>第</w:t>
      </w:r>
      <w:r>
        <w:rPr>
          <w:rFonts w:ascii="宋体" w:hAnsi="宋体"/>
          <w:sz w:val="24"/>
        </w:rPr>
        <w:t>19</w:t>
      </w:r>
      <w:r>
        <w:rPr>
          <w:rFonts w:hint="eastAsia" w:ascii="宋体" w:hAnsi="宋体"/>
          <w:sz w:val="24"/>
        </w:rPr>
        <w:t>部分 专用指南 安全阀校验机构。</w:t>
      </w:r>
    </w:p>
    <w:p>
      <w:pPr>
        <w:spacing w:line="360" w:lineRule="auto"/>
        <w:ind w:firstLine="480" w:firstLineChars="200"/>
        <w:rPr>
          <w:rFonts w:ascii="宋体" w:hAnsi="宋体"/>
          <w:sz w:val="24"/>
        </w:rPr>
      </w:pPr>
      <w:r>
        <w:rPr>
          <w:rFonts w:hint="eastAsia" w:ascii="宋体" w:hAnsi="宋体"/>
          <w:sz w:val="24"/>
        </w:rPr>
        <w:t>本部分规定了</w:t>
      </w:r>
      <w:bookmarkStart w:id="4" w:name="OLE_LINK35"/>
      <w:bookmarkStart w:id="5" w:name="OLE_LINK36"/>
      <w:r>
        <w:rPr>
          <w:rFonts w:hint="eastAsia" w:ascii="宋体" w:hAnsi="宋体"/>
          <w:sz w:val="24"/>
        </w:rPr>
        <w:t>安全阀校验机构鉴定评审的基本内容与方法、需要提供的满足核准条件的相关见证、需要提交评审机构的资料等方面的基本要求。</w:t>
      </w:r>
    </w:p>
    <w:bookmarkEnd w:id="4"/>
    <w:bookmarkEnd w:id="5"/>
    <w:p>
      <w:pPr>
        <w:spacing w:line="480" w:lineRule="auto"/>
        <w:outlineLvl w:val="0"/>
        <w:rPr>
          <w:rFonts w:ascii="宋体" w:hAnsi="宋体" w:cs="黑体"/>
          <w:b/>
          <w:sz w:val="24"/>
        </w:rPr>
      </w:pPr>
      <w:r>
        <w:rPr>
          <w:rFonts w:hint="eastAsia" w:ascii="宋体" w:hAnsi="宋体" w:cs="黑体"/>
          <w:b/>
          <w:sz w:val="24"/>
        </w:rPr>
        <w:t xml:space="preserve">2  引用文件 </w:t>
      </w:r>
    </w:p>
    <w:p>
      <w:pPr>
        <w:spacing w:line="360" w:lineRule="auto"/>
        <w:ind w:firstLine="480" w:firstLineChars="200"/>
        <w:rPr>
          <w:rFonts w:ascii="宋体" w:hAnsi="宋体"/>
          <w:sz w:val="24"/>
        </w:rPr>
      </w:pPr>
      <w:r>
        <w:rPr>
          <w:rFonts w:hint="eastAsia" w:ascii="宋体" w:hAnsi="宋体"/>
          <w:sz w:val="24"/>
        </w:rPr>
        <w:t>2.1  特种设备安全法</w:t>
      </w:r>
    </w:p>
    <w:p>
      <w:pPr>
        <w:spacing w:line="360" w:lineRule="auto"/>
        <w:ind w:firstLine="480" w:firstLineChars="200"/>
        <w:rPr>
          <w:rFonts w:ascii="宋体" w:hAnsi="宋体"/>
          <w:sz w:val="24"/>
        </w:rPr>
      </w:pPr>
      <w:r>
        <w:rPr>
          <w:rFonts w:hint="eastAsia" w:ascii="宋体" w:hAnsi="宋体"/>
          <w:sz w:val="24"/>
        </w:rPr>
        <w:t>2.2  特种设备安全监察条例</w:t>
      </w:r>
    </w:p>
    <w:p>
      <w:pPr>
        <w:spacing w:line="360" w:lineRule="auto"/>
        <w:ind w:firstLine="480" w:firstLineChars="200"/>
        <w:rPr>
          <w:rFonts w:ascii="宋体" w:hAnsi="宋体"/>
          <w:sz w:val="24"/>
        </w:rPr>
      </w:pPr>
      <w:r>
        <w:rPr>
          <w:rFonts w:hint="eastAsia" w:ascii="宋体" w:hAnsi="宋体"/>
          <w:sz w:val="24"/>
        </w:rPr>
        <w:t xml:space="preserve">2.3 </w:t>
      </w:r>
      <w:bookmarkStart w:id="6" w:name="OLE_LINK114"/>
      <w:bookmarkStart w:id="7" w:name="OLE_LINK115"/>
      <w:r>
        <w:rPr>
          <w:rFonts w:hint="eastAsia" w:ascii="宋体" w:hAnsi="宋体"/>
          <w:sz w:val="24"/>
        </w:rPr>
        <w:t xml:space="preserve"> </w:t>
      </w:r>
      <w:bookmarkEnd w:id="6"/>
      <w:bookmarkEnd w:id="7"/>
      <w:r>
        <w:rPr>
          <w:rFonts w:hint="eastAsia" w:ascii="宋体" w:hAnsi="宋体"/>
          <w:sz w:val="24"/>
        </w:rPr>
        <w:t>TSG Z7002-2022 特种设备检测机构核准规则</w:t>
      </w:r>
    </w:p>
    <w:p>
      <w:pPr>
        <w:spacing w:line="360" w:lineRule="auto"/>
        <w:ind w:firstLine="480" w:firstLineChars="200"/>
        <w:rPr>
          <w:rFonts w:ascii="宋体" w:hAnsi="宋体"/>
          <w:sz w:val="24"/>
        </w:rPr>
      </w:pPr>
      <w:r>
        <w:rPr>
          <w:rFonts w:hint="eastAsia" w:ascii="宋体" w:hAnsi="宋体"/>
          <w:sz w:val="24"/>
        </w:rPr>
        <w:t>2.4  TSG ZF001-2006 安全阀安全技术监察规程</w:t>
      </w:r>
    </w:p>
    <w:p>
      <w:pPr>
        <w:spacing w:line="360" w:lineRule="auto"/>
        <w:ind w:firstLine="480" w:firstLineChars="200"/>
        <w:rPr>
          <w:rFonts w:ascii="宋体" w:hAnsi="宋体"/>
          <w:sz w:val="24"/>
        </w:rPr>
      </w:pPr>
      <w:r>
        <w:rPr>
          <w:rFonts w:hint="eastAsia" w:ascii="宋体" w:hAnsi="宋体"/>
          <w:sz w:val="24"/>
        </w:rPr>
        <w:t xml:space="preserve">2.5  XTXPS/ZN-JXC-2022 </w:t>
      </w:r>
      <w:r>
        <w:rPr>
          <w:rFonts w:hint="eastAsia" w:ascii="宋体" w:hAnsi="宋体"/>
          <w:sz w:val="24"/>
          <w:lang w:eastAsia="zh-CN"/>
        </w:rPr>
        <w:t>特种设备行政许可现场鉴定评审指南</w:t>
      </w:r>
      <w:r>
        <w:rPr>
          <w:rFonts w:hint="eastAsia" w:ascii="宋体" w:hAnsi="宋体"/>
          <w:sz w:val="24"/>
        </w:rPr>
        <w:t xml:space="preserve"> 第1部分 通用指南 基本程序和要求</w:t>
      </w:r>
    </w:p>
    <w:p>
      <w:pPr>
        <w:spacing w:line="360" w:lineRule="auto"/>
        <w:ind w:firstLine="480" w:firstLineChars="200"/>
        <w:rPr>
          <w:rFonts w:ascii="宋体" w:hAnsi="宋体"/>
          <w:sz w:val="24"/>
        </w:rPr>
      </w:pPr>
      <w:r>
        <w:rPr>
          <w:rFonts w:hint="eastAsia" w:ascii="宋体" w:hAnsi="宋体"/>
          <w:sz w:val="24"/>
        </w:rPr>
        <w:t>2.6  其他相关特种设备安全技术规范和标准</w:t>
      </w:r>
    </w:p>
    <w:p>
      <w:pPr>
        <w:spacing w:line="480" w:lineRule="auto"/>
        <w:outlineLvl w:val="0"/>
        <w:rPr>
          <w:rFonts w:ascii="宋体" w:hAnsi="宋体" w:cs="黑体"/>
          <w:b/>
          <w:sz w:val="24"/>
        </w:rPr>
      </w:pPr>
      <w:r>
        <w:rPr>
          <w:rFonts w:hint="eastAsia" w:ascii="宋体" w:hAnsi="宋体" w:cs="黑体"/>
          <w:b/>
          <w:sz w:val="24"/>
        </w:rPr>
        <w:t xml:space="preserve">3  术语 </w:t>
      </w:r>
    </w:p>
    <w:p>
      <w:pPr>
        <w:spacing w:line="360" w:lineRule="auto"/>
        <w:ind w:firstLine="480" w:firstLineChars="200"/>
        <w:rPr>
          <w:rFonts w:ascii="宋体" w:hAnsi="宋体"/>
          <w:sz w:val="24"/>
        </w:rPr>
      </w:pPr>
      <w:r>
        <w:rPr>
          <w:rFonts w:hint="eastAsia" w:ascii="宋体" w:hAnsi="宋体"/>
          <w:sz w:val="24"/>
        </w:rPr>
        <w:t>本指南采用上述引用文件中界定的术语和定义。</w:t>
      </w:r>
    </w:p>
    <w:p>
      <w:pPr>
        <w:spacing w:line="480" w:lineRule="auto"/>
        <w:outlineLvl w:val="0"/>
        <w:rPr>
          <w:rFonts w:ascii="宋体" w:hAnsi="宋体" w:cs="黑体"/>
          <w:b/>
          <w:sz w:val="24"/>
        </w:rPr>
      </w:pPr>
      <w:r>
        <w:rPr>
          <w:rFonts w:hint="eastAsia" w:ascii="宋体" w:hAnsi="宋体" w:cs="黑体"/>
          <w:b/>
          <w:sz w:val="24"/>
        </w:rPr>
        <w:t>4  评审基本内容与方法</w:t>
      </w:r>
    </w:p>
    <w:p>
      <w:pPr>
        <w:spacing w:line="480" w:lineRule="auto"/>
        <w:outlineLvl w:val="0"/>
        <w:rPr>
          <w:rFonts w:ascii="宋体" w:hAnsi="宋体" w:cs="黑体"/>
          <w:b/>
          <w:sz w:val="24"/>
        </w:rPr>
      </w:pPr>
      <w:r>
        <w:rPr>
          <w:rFonts w:hint="eastAsia" w:ascii="宋体" w:hAnsi="宋体" w:cs="黑体"/>
          <w:b/>
          <w:sz w:val="24"/>
        </w:rPr>
        <w:t>4.1 资源条件的评审</w:t>
      </w:r>
    </w:p>
    <w:p>
      <w:pPr>
        <w:spacing w:line="360" w:lineRule="auto"/>
        <w:rPr>
          <w:rFonts w:ascii="宋体" w:hAnsi="宋体"/>
          <w:sz w:val="24"/>
        </w:rPr>
      </w:pPr>
      <w:r>
        <w:rPr>
          <w:rFonts w:hint="eastAsia" w:ascii="宋体" w:hAnsi="宋体"/>
          <w:sz w:val="24"/>
        </w:rPr>
        <w:t xml:space="preserve">    鉴定评审组将对申请机构的资源条件进行评审，评审的内容包括：申请机构的法律地位、人员、仪器设备、场地与设施等。评审方法包括查阅见证、查看实物、交谈、观察所涉及领域的活动等。</w:t>
      </w:r>
    </w:p>
    <w:p>
      <w:pPr>
        <w:spacing w:line="480" w:lineRule="auto"/>
        <w:outlineLvl w:val="0"/>
        <w:rPr>
          <w:rFonts w:ascii="宋体" w:hAnsi="宋体" w:cs="黑体"/>
          <w:b/>
          <w:sz w:val="24"/>
        </w:rPr>
      </w:pPr>
      <w:r>
        <w:rPr>
          <w:rFonts w:hint="eastAsia" w:ascii="宋体" w:hAnsi="宋体" w:cs="黑体"/>
          <w:b/>
          <w:sz w:val="24"/>
        </w:rPr>
        <w:t>4.2质量管理体系的评审</w:t>
      </w:r>
    </w:p>
    <w:p>
      <w:pPr>
        <w:spacing w:line="360" w:lineRule="auto"/>
        <w:rPr>
          <w:rFonts w:ascii="宋体" w:hAnsi="宋体"/>
          <w:sz w:val="24"/>
        </w:rPr>
      </w:pPr>
      <w:r>
        <w:rPr>
          <w:rFonts w:hint="eastAsia" w:ascii="宋体" w:hAnsi="宋体"/>
          <w:sz w:val="24"/>
        </w:rPr>
        <w:t xml:space="preserve">    鉴定评审组将对申请机构的质量管理体系的建立与实施情况进行评审。通过查阅质量管理体系文件、实施见证、与申请机构沟通交流、与当地特种设备安全监督管理部门进行交流等方式，评审质量管理体系的建立与实施情况。</w:t>
      </w:r>
    </w:p>
    <w:p>
      <w:pPr>
        <w:spacing w:line="480" w:lineRule="auto"/>
        <w:outlineLvl w:val="0"/>
        <w:rPr>
          <w:rFonts w:ascii="宋体" w:hAnsi="宋体" w:cs="黑体"/>
          <w:b/>
          <w:sz w:val="24"/>
        </w:rPr>
      </w:pPr>
      <w:r>
        <w:rPr>
          <w:rFonts w:hint="eastAsia" w:ascii="宋体" w:hAnsi="宋体" w:cs="黑体"/>
          <w:b/>
          <w:sz w:val="24"/>
        </w:rPr>
        <w:t>4.3校验能力的评审</w:t>
      </w:r>
    </w:p>
    <w:p>
      <w:pPr>
        <w:spacing w:line="360" w:lineRule="auto"/>
        <w:rPr>
          <w:rFonts w:ascii="宋体" w:hAnsi="宋体"/>
          <w:sz w:val="24"/>
        </w:rPr>
      </w:pPr>
      <w:r>
        <w:rPr>
          <w:rFonts w:hint="eastAsia" w:ascii="宋体" w:hAnsi="宋体"/>
          <w:sz w:val="24"/>
        </w:rPr>
        <w:t>4.3.1校验能力评审方式选择:</w:t>
      </w:r>
    </w:p>
    <w:p>
      <w:pPr>
        <w:spacing w:line="360" w:lineRule="auto"/>
        <w:rPr>
          <w:rFonts w:ascii="宋体" w:hAnsi="宋体"/>
          <w:sz w:val="24"/>
        </w:rPr>
      </w:pPr>
      <w:r>
        <w:rPr>
          <w:rFonts w:hint="eastAsia" w:ascii="宋体" w:hAnsi="宋体"/>
          <w:sz w:val="24"/>
        </w:rPr>
        <w:t xml:space="preserve">    (1)对于延续核准的应采用校验报告评价和跟踪校验过程等评价方式；</w:t>
      </w:r>
    </w:p>
    <w:p>
      <w:pPr>
        <w:spacing w:line="360" w:lineRule="auto"/>
        <w:rPr>
          <w:rFonts w:ascii="宋体" w:hAnsi="宋体"/>
          <w:sz w:val="24"/>
        </w:rPr>
      </w:pPr>
      <w:r>
        <w:rPr>
          <w:rFonts w:hint="eastAsia" w:ascii="宋体" w:hAnsi="宋体"/>
          <w:sz w:val="24"/>
        </w:rPr>
        <w:t xml:space="preserve">    (2)对于首次核准和增项核准的应采用跟踪校验过程的评价方式。</w:t>
      </w:r>
    </w:p>
    <w:p>
      <w:pPr>
        <w:spacing w:line="360" w:lineRule="auto"/>
        <w:rPr>
          <w:rFonts w:ascii="宋体" w:hAnsi="宋体"/>
          <w:sz w:val="24"/>
        </w:rPr>
      </w:pPr>
      <w:r>
        <w:rPr>
          <w:rFonts w:hint="eastAsia" w:ascii="宋体" w:hAnsi="宋体"/>
          <w:sz w:val="24"/>
        </w:rPr>
        <w:t>4.3.2校验报告评价</w:t>
      </w:r>
    </w:p>
    <w:p>
      <w:pPr>
        <w:spacing w:line="360" w:lineRule="auto"/>
        <w:rPr>
          <w:rFonts w:ascii="宋体" w:hAnsi="宋体"/>
          <w:sz w:val="24"/>
        </w:rPr>
      </w:pPr>
      <w:r>
        <w:rPr>
          <w:rFonts w:hint="eastAsia" w:ascii="宋体" w:hAnsi="宋体"/>
          <w:sz w:val="24"/>
        </w:rPr>
        <w:t xml:space="preserve">    当采用校验报告评价方式时，申请机构应当准备近 4 年《校验报告台账》，由鉴定评审员随机抽查一定数量申请项目的校验技术资料（至少包括校验作业指导文件、校验记录、校验报告）进行查阅，必要时鉴定评审员应当对申请机构的校验人员及关键岗位人员进行技术水平与管理能力的考核。</w:t>
      </w:r>
    </w:p>
    <w:p>
      <w:pPr>
        <w:spacing w:line="360" w:lineRule="auto"/>
        <w:rPr>
          <w:rFonts w:ascii="宋体" w:hAnsi="宋体"/>
          <w:sz w:val="24"/>
        </w:rPr>
      </w:pPr>
      <w:r>
        <w:rPr>
          <w:rFonts w:hint="eastAsia" w:ascii="宋体" w:hAnsi="宋体"/>
          <w:sz w:val="24"/>
        </w:rPr>
        <w:t>4.3.2跟踪校验过程评价</w:t>
      </w:r>
    </w:p>
    <w:p>
      <w:pPr>
        <w:spacing w:line="360" w:lineRule="auto"/>
        <w:rPr>
          <w:rFonts w:ascii="宋体" w:hAnsi="宋体"/>
          <w:sz w:val="24"/>
        </w:rPr>
      </w:pPr>
      <w:r>
        <w:rPr>
          <w:rFonts w:hint="eastAsia" w:ascii="宋体" w:hAnsi="宋体"/>
          <w:sz w:val="24"/>
        </w:rPr>
        <w:t xml:space="preserve">    对于首次核准和增项核准的申请机构应当准备申请项目的校验对象，现场评审期间将在核准的校验地址进行校验跟踪，对于申请开展在线项目的可以准备申请项目的校验现场和校验对象,在现场鉴定评审期间实施校验与跟踪，跟踪校验过程评价包含对该校验的记录和报告的评价。</w:t>
      </w:r>
    </w:p>
    <w:p>
      <w:pPr>
        <w:spacing w:line="480" w:lineRule="auto"/>
        <w:outlineLvl w:val="0"/>
        <w:rPr>
          <w:rFonts w:ascii="宋体" w:hAnsi="宋体" w:cs="黑体"/>
          <w:b/>
          <w:sz w:val="24"/>
        </w:rPr>
      </w:pPr>
      <w:r>
        <w:rPr>
          <w:rFonts w:hint="eastAsia" w:ascii="宋体" w:hAnsi="宋体" w:cs="黑体"/>
          <w:b/>
          <w:sz w:val="24"/>
        </w:rPr>
        <w:t>5  需要提供的满足核准条件的相关见证</w:t>
      </w:r>
    </w:p>
    <w:p>
      <w:pPr>
        <w:spacing w:line="480" w:lineRule="auto"/>
        <w:outlineLvl w:val="0"/>
        <w:rPr>
          <w:rFonts w:ascii="宋体" w:hAnsi="宋体" w:cs="黑体"/>
          <w:b/>
          <w:sz w:val="24"/>
        </w:rPr>
      </w:pPr>
      <w:r>
        <w:rPr>
          <w:rFonts w:hint="eastAsia" w:ascii="宋体" w:hAnsi="宋体" w:cs="黑体"/>
          <w:b/>
          <w:sz w:val="24"/>
        </w:rPr>
        <w:t>5.1资源条件方面</w:t>
      </w:r>
    </w:p>
    <w:p>
      <w:pPr>
        <w:spacing w:line="360" w:lineRule="auto"/>
        <w:rPr>
          <w:rFonts w:ascii="宋体" w:hAnsi="宋体"/>
          <w:sz w:val="24"/>
        </w:rPr>
      </w:pPr>
      <w:r>
        <w:rPr>
          <w:rFonts w:hint="eastAsia" w:ascii="宋体" w:hAnsi="宋体"/>
          <w:b/>
          <w:sz w:val="24"/>
        </w:rPr>
        <w:t xml:space="preserve">    </w:t>
      </w:r>
      <w:r>
        <w:rPr>
          <w:rFonts w:hint="eastAsia" w:ascii="宋体" w:hAnsi="宋体"/>
          <w:sz w:val="24"/>
        </w:rPr>
        <w:t>资源条件评审需要提供的见证材料及要求见表</w:t>
      </w:r>
      <w:r>
        <w:rPr>
          <w:rFonts w:ascii="宋体" w:hAnsi="宋体"/>
          <w:sz w:val="24"/>
        </w:rPr>
        <w:t>19</w:t>
      </w:r>
      <w:r>
        <w:rPr>
          <w:rFonts w:hint="eastAsia" w:ascii="宋体" w:hAnsi="宋体"/>
          <w:sz w:val="24"/>
        </w:rPr>
        <w:t>-1：</w:t>
      </w:r>
    </w:p>
    <w:p>
      <w:pPr>
        <w:spacing w:line="480" w:lineRule="auto"/>
        <w:jc w:val="center"/>
        <w:outlineLvl w:val="0"/>
        <w:rPr>
          <w:rFonts w:ascii="宋体" w:hAnsi="宋体" w:cs="黑体"/>
          <w:b/>
          <w:sz w:val="24"/>
        </w:rPr>
      </w:pPr>
      <w:r>
        <w:rPr>
          <w:rFonts w:hint="eastAsia" w:ascii="宋体" w:hAnsi="宋体" w:cs="黑体"/>
          <w:b/>
          <w:sz w:val="24"/>
        </w:rPr>
        <w:t>表</w:t>
      </w:r>
      <w:r>
        <w:rPr>
          <w:rFonts w:ascii="宋体" w:hAnsi="宋体" w:cs="黑体"/>
          <w:b/>
          <w:sz w:val="24"/>
        </w:rPr>
        <w:t>19</w:t>
      </w:r>
      <w:r>
        <w:rPr>
          <w:rFonts w:hint="eastAsia" w:ascii="宋体" w:hAnsi="宋体" w:cs="黑体"/>
          <w:b/>
          <w:sz w:val="24"/>
        </w:rPr>
        <w:t>-1资源条件评审见证材料要求</w:t>
      </w:r>
    </w:p>
    <w:tbl>
      <w:tblPr>
        <w:tblStyle w:val="1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276"/>
        <w:gridCol w:w="1984"/>
        <w:gridCol w:w="3402"/>
        <w:gridCol w:w="10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jc w:val="center"/>
        </w:trPr>
        <w:tc>
          <w:tcPr>
            <w:tcW w:w="817" w:type="dxa"/>
            <w:vAlign w:val="center"/>
          </w:tcPr>
          <w:p>
            <w:pPr>
              <w:rPr>
                <w:rFonts w:ascii="宋体" w:hAnsi="宋体"/>
                <w:szCs w:val="21"/>
              </w:rPr>
            </w:pPr>
            <w:r>
              <w:rPr>
                <w:rFonts w:hint="eastAsia" w:ascii="宋体" w:hAnsi="宋体"/>
                <w:szCs w:val="21"/>
              </w:rPr>
              <w:t>序号</w:t>
            </w:r>
          </w:p>
        </w:tc>
        <w:tc>
          <w:tcPr>
            <w:tcW w:w="1276" w:type="dxa"/>
            <w:tcBorders>
              <w:right w:val="single" w:color="auto" w:sz="4" w:space="0"/>
            </w:tcBorders>
            <w:vAlign w:val="center"/>
          </w:tcPr>
          <w:p>
            <w:pPr>
              <w:rPr>
                <w:rFonts w:ascii="宋体" w:hAnsi="宋体"/>
                <w:szCs w:val="21"/>
              </w:rPr>
            </w:pPr>
            <w:r>
              <w:rPr>
                <w:rFonts w:hint="eastAsia" w:ascii="宋体" w:hAnsi="宋体"/>
                <w:szCs w:val="21"/>
              </w:rPr>
              <w:t>评审项目</w:t>
            </w:r>
          </w:p>
        </w:tc>
        <w:tc>
          <w:tcPr>
            <w:tcW w:w="1984" w:type="dxa"/>
            <w:tcBorders>
              <w:left w:val="single" w:color="auto" w:sz="4" w:space="0"/>
            </w:tcBorders>
            <w:vAlign w:val="center"/>
          </w:tcPr>
          <w:p>
            <w:pPr>
              <w:rPr>
                <w:rFonts w:ascii="宋体" w:hAnsi="宋体"/>
                <w:szCs w:val="21"/>
              </w:rPr>
            </w:pPr>
            <w:r>
              <w:rPr>
                <w:rFonts w:hint="eastAsia" w:ascii="宋体" w:hAnsi="宋体"/>
                <w:szCs w:val="21"/>
              </w:rPr>
              <w:t>评审内容与要求</w:t>
            </w:r>
          </w:p>
        </w:tc>
        <w:tc>
          <w:tcPr>
            <w:tcW w:w="3402" w:type="dxa"/>
            <w:vAlign w:val="center"/>
          </w:tcPr>
          <w:p>
            <w:pPr>
              <w:rPr>
                <w:rFonts w:ascii="宋体" w:hAnsi="宋体"/>
                <w:szCs w:val="21"/>
              </w:rPr>
            </w:pPr>
            <w:r>
              <w:rPr>
                <w:rFonts w:hint="eastAsia" w:ascii="宋体" w:hAnsi="宋体"/>
                <w:szCs w:val="21"/>
              </w:rPr>
              <w:t>提供评审验证的相关见证</w:t>
            </w:r>
          </w:p>
        </w:tc>
        <w:tc>
          <w:tcPr>
            <w:tcW w:w="1043" w:type="dxa"/>
            <w:vAlign w:val="center"/>
          </w:tcPr>
          <w:p>
            <w:pPr>
              <w:jc w:val="center"/>
              <w:rPr>
                <w:rFonts w:ascii="宋体" w:hAnsi="宋体"/>
                <w:szCs w:val="21"/>
              </w:rPr>
            </w:pPr>
            <w:r>
              <w:rPr>
                <w:rFonts w:hint="eastAsia" w:ascii="宋体" w:hAnsi="宋体"/>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Cs w:val="21"/>
              </w:rPr>
            </w:pPr>
            <w:r>
              <w:rPr>
                <w:rFonts w:hint="eastAsia" w:ascii="宋体" w:hAnsi="宋体"/>
                <w:szCs w:val="21"/>
              </w:rPr>
              <w:t>1</w:t>
            </w:r>
          </w:p>
        </w:tc>
        <w:tc>
          <w:tcPr>
            <w:tcW w:w="1276" w:type="dxa"/>
            <w:tcBorders>
              <w:bottom w:val="single" w:color="auto" w:sz="4" w:space="0"/>
              <w:right w:val="single" w:color="auto" w:sz="4" w:space="0"/>
            </w:tcBorders>
            <w:vAlign w:val="center"/>
          </w:tcPr>
          <w:p>
            <w:pPr>
              <w:rPr>
                <w:rFonts w:ascii="宋体" w:hAnsi="宋体"/>
                <w:szCs w:val="21"/>
              </w:rPr>
            </w:pPr>
            <w:r>
              <w:rPr>
                <w:rFonts w:hint="eastAsia" w:ascii="宋体" w:hAnsi="宋体"/>
                <w:szCs w:val="21"/>
              </w:rPr>
              <w:t>法律地位</w:t>
            </w:r>
          </w:p>
        </w:tc>
        <w:tc>
          <w:tcPr>
            <w:tcW w:w="1984" w:type="dxa"/>
            <w:tcBorders>
              <w:left w:val="single" w:color="auto" w:sz="4" w:space="0"/>
            </w:tcBorders>
            <w:vAlign w:val="center"/>
          </w:tcPr>
          <w:p>
            <w:pPr>
              <w:rPr>
                <w:rFonts w:ascii="宋体" w:hAnsi="宋体"/>
                <w:szCs w:val="21"/>
              </w:rPr>
            </w:pPr>
            <w:r>
              <w:rPr>
                <w:rFonts w:hint="eastAsia" w:ascii="宋体" w:hAnsi="宋体"/>
                <w:szCs w:val="21"/>
              </w:rPr>
              <w:t>具有法人资格</w:t>
            </w:r>
          </w:p>
        </w:tc>
        <w:tc>
          <w:tcPr>
            <w:tcW w:w="3402" w:type="dxa"/>
            <w:vAlign w:val="center"/>
          </w:tcPr>
          <w:p>
            <w:pPr>
              <w:rPr>
                <w:rFonts w:ascii="宋体" w:hAnsi="宋体"/>
                <w:szCs w:val="21"/>
              </w:rPr>
            </w:pPr>
            <w:r>
              <w:rPr>
                <w:rFonts w:hint="eastAsia" w:ascii="宋体" w:hAnsi="宋体"/>
                <w:szCs w:val="21"/>
              </w:rPr>
              <w:t xml:space="preserve">法人证书/营业执照  </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Merge w:val="restart"/>
            <w:vAlign w:val="center"/>
          </w:tcPr>
          <w:p>
            <w:pPr>
              <w:jc w:val="center"/>
              <w:rPr>
                <w:rFonts w:ascii="宋体" w:hAnsi="宋体"/>
                <w:szCs w:val="21"/>
              </w:rPr>
            </w:pPr>
            <w:r>
              <w:rPr>
                <w:rFonts w:hint="eastAsia" w:ascii="宋体" w:hAnsi="宋体"/>
                <w:szCs w:val="21"/>
              </w:rPr>
              <w:t>2</w:t>
            </w:r>
          </w:p>
        </w:tc>
        <w:tc>
          <w:tcPr>
            <w:tcW w:w="1276" w:type="dxa"/>
            <w:vMerge w:val="restart"/>
            <w:tcBorders>
              <w:top w:val="single" w:color="auto" w:sz="4" w:space="0"/>
              <w:right w:val="single" w:color="auto" w:sz="4" w:space="0"/>
            </w:tcBorders>
            <w:vAlign w:val="center"/>
          </w:tcPr>
          <w:p>
            <w:pPr>
              <w:rPr>
                <w:rFonts w:ascii="宋体" w:hAnsi="宋体"/>
                <w:szCs w:val="21"/>
              </w:rPr>
            </w:pPr>
            <w:r>
              <w:rPr>
                <w:rFonts w:hint="eastAsia" w:ascii="宋体" w:hAnsi="宋体"/>
                <w:szCs w:val="21"/>
              </w:rPr>
              <w:t>人员配备</w:t>
            </w:r>
          </w:p>
        </w:tc>
        <w:tc>
          <w:tcPr>
            <w:tcW w:w="1984" w:type="dxa"/>
            <w:tcBorders>
              <w:left w:val="single" w:color="auto" w:sz="4" w:space="0"/>
            </w:tcBorders>
            <w:vAlign w:val="center"/>
          </w:tcPr>
          <w:p>
            <w:pPr>
              <w:rPr>
                <w:rFonts w:ascii="宋体" w:hAnsi="宋体"/>
                <w:szCs w:val="21"/>
              </w:rPr>
            </w:pPr>
            <w:r>
              <w:rPr>
                <w:rFonts w:hint="eastAsia" w:ascii="宋体" w:hAnsi="宋体"/>
                <w:szCs w:val="21"/>
              </w:rPr>
              <w:t>持证校验人员：持校验资格证</w:t>
            </w:r>
            <w:r>
              <w:rPr>
                <w:rFonts w:ascii="宋体" w:hAnsi="宋体"/>
                <w:szCs w:val="21"/>
              </w:rPr>
              <w:t xml:space="preserve"> </w:t>
            </w:r>
            <w:r>
              <w:rPr>
                <w:rFonts w:hint="eastAsia" w:ascii="宋体" w:hAnsi="宋体"/>
                <w:szCs w:val="21"/>
              </w:rPr>
              <w:t>(包括锅炉压力容器压力管道检验师、安全阀校验员)</w:t>
            </w:r>
          </w:p>
        </w:tc>
        <w:tc>
          <w:tcPr>
            <w:tcW w:w="3402" w:type="dxa"/>
            <w:vAlign w:val="center"/>
          </w:tcPr>
          <w:p>
            <w:pPr>
              <w:rPr>
                <w:rFonts w:ascii="宋体" w:hAnsi="宋体"/>
                <w:szCs w:val="21"/>
              </w:rPr>
            </w:pPr>
            <w:r>
              <w:rPr>
                <w:rFonts w:hint="eastAsia" w:ascii="宋体" w:hAnsi="宋体"/>
                <w:szCs w:val="21"/>
              </w:rPr>
              <w:t>聘用合同、身份证、资格证件、注册证书（锅炉压力容器压力管道检验师需要）、培训证明</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Merge w:val="continue"/>
            <w:vAlign w:val="center"/>
          </w:tcPr>
          <w:p>
            <w:pPr>
              <w:jc w:val="center"/>
              <w:rPr>
                <w:rFonts w:ascii="宋体" w:hAnsi="宋体"/>
                <w:szCs w:val="21"/>
              </w:rPr>
            </w:pPr>
          </w:p>
        </w:tc>
        <w:tc>
          <w:tcPr>
            <w:tcW w:w="1276" w:type="dxa"/>
            <w:vMerge w:val="continue"/>
            <w:tcBorders>
              <w:right w:val="single" w:color="auto" w:sz="4" w:space="0"/>
            </w:tcBorders>
            <w:vAlign w:val="center"/>
          </w:tcPr>
          <w:p>
            <w:pPr>
              <w:rPr>
                <w:rFonts w:ascii="宋体" w:hAnsi="宋体"/>
                <w:szCs w:val="21"/>
              </w:rPr>
            </w:pPr>
          </w:p>
        </w:tc>
        <w:tc>
          <w:tcPr>
            <w:tcW w:w="1984" w:type="dxa"/>
            <w:tcBorders>
              <w:left w:val="single" w:color="auto" w:sz="4" w:space="0"/>
            </w:tcBorders>
            <w:vAlign w:val="center"/>
          </w:tcPr>
          <w:p>
            <w:pPr>
              <w:rPr>
                <w:rFonts w:ascii="宋体" w:hAnsi="宋体"/>
                <w:szCs w:val="21"/>
              </w:rPr>
            </w:pPr>
            <w:r>
              <w:rPr>
                <w:rFonts w:hint="eastAsia" w:ascii="宋体" w:hAnsi="宋体"/>
                <w:szCs w:val="21"/>
              </w:rPr>
              <w:t>关键岗位、报告审批人员：持相应校验资格证，经正式任命</w:t>
            </w:r>
          </w:p>
        </w:tc>
        <w:tc>
          <w:tcPr>
            <w:tcW w:w="3402" w:type="dxa"/>
            <w:vAlign w:val="center"/>
          </w:tcPr>
          <w:p>
            <w:pPr>
              <w:rPr>
                <w:rFonts w:ascii="宋体" w:hAnsi="宋体"/>
                <w:szCs w:val="21"/>
              </w:rPr>
            </w:pPr>
            <w:r>
              <w:rPr>
                <w:rFonts w:hint="eastAsia" w:ascii="宋体" w:hAnsi="宋体"/>
                <w:szCs w:val="21"/>
              </w:rPr>
              <w:t>聘用合同、身份证、资格证书、注册证书（锅炉压力容器压力管道检验师需要）、培训证明、任命文件、本单位养老保险缴纳证明（网上查询）</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Cs w:val="21"/>
              </w:rPr>
            </w:pPr>
            <w:r>
              <w:rPr>
                <w:rFonts w:hint="eastAsia" w:ascii="宋体" w:hAnsi="宋体"/>
                <w:szCs w:val="21"/>
              </w:rPr>
              <w:t>3</w:t>
            </w:r>
          </w:p>
        </w:tc>
        <w:tc>
          <w:tcPr>
            <w:tcW w:w="1276" w:type="dxa"/>
            <w:tcBorders>
              <w:right w:val="single" w:color="auto" w:sz="4" w:space="0"/>
            </w:tcBorders>
            <w:vAlign w:val="center"/>
          </w:tcPr>
          <w:p>
            <w:pPr>
              <w:rPr>
                <w:rFonts w:ascii="宋体" w:hAnsi="宋体"/>
                <w:szCs w:val="21"/>
              </w:rPr>
            </w:pPr>
            <w:r>
              <w:rPr>
                <w:rFonts w:hint="eastAsia" w:ascii="宋体" w:hAnsi="宋体"/>
                <w:szCs w:val="21"/>
              </w:rPr>
              <w:t>场地与设施</w:t>
            </w:r>
          </w:p>
        </w:tc>
        <w:tc>
          <w:tcPr>
            <w:tcW w:w="1984" w:type="dxa"/>
            <w:tcBorders>
              <w:left w:val="single" w:color="auto" w:sz="4" w:space="0"/>
            </w:tcBorders>
            <w:vAlign w:val="center"/>
          </w:tcPr>
          <w:p>
            <w:pPr>
              <w:rPr>
                <w:rFonts w:ascii="宋体" w:hAnsi="宋体"/>
                <w:szCs w:val="21"/>
              </w:rPr>
            </w:pPr>
            <w:r>
              <w:rPr>
                <w:rFonts w:ascii="宋体" w:hAnsi="宋体"/>
                <w:szCs w:val="21"/>
              </w:rPr>
              <w:t>满足要求</w:t>
            </w:r>
            <w:r>
              <w:rPr>
                <w:rFonts w:hint="eastAsia" w:ascii="宋体" w:hAnsi="宋体"/>
                <w:szCs w:val="21"/>
              </w:rPr>
              <w:t>的固定办公场所及校验试验场地，校验试验场地面积不少于50</w:t>
            </w:r>
            <w:r>
              <w:rPr>
                <w:rFonts w:hint="eastAsia" w:ascii="宋体" w:hAnsi="宋体" w:cs="Arial"/>
                <w:color w:val="000000"/>
                <w:szCs w:val="21"/>
                <w:lang w:val="en-GB"/>
              </w:rPr>
              <w:t xml:space="preserve"> m</w:t>
            </w:r>
            <w:r>
              <w:rPr>
                <w:rFonts w:hint="eastAsia" w:ascii="宋体" w:hAnsi="宋体" w:cs="Arial"/>
                <w:color w:val="000000"/>
                <w:szCs w:val="21"/>
                <w:vertAlign w:val="superscript"/>
                <w:lang w:val="en-GB"/>
              </w:rPr>
              <w:t>2</w:t>
            </w:r>
          </w:p>
        </w:tc>
        <w:tc>
          <w:tcPr>
            <w:tcW w:w="3402" w:type="dxa"/>
            <w:vAlign w:val="center"/>
          </w:tcPr>
          <w:p>
            <w:pPr>
              <w:rPr>
                <w:rFonts w:ascii="宋体" w:hAnsi="宋体"/>
                <w:szCs w:val="21"/>
              </w:rPr>
            </w:pPr>
            <w:r>
              <w:rPr>
                <w:rFonts w:hint="eastAsia" w:ascii="宋体" w:hAnsi="宋体"/>
                <w:szCs w:val="21"/>
              </w:rPr>
              <w:t>土地使用证、房屋产权证、租赁合同（或国有资产使用证明资料）、特殊场所的资质证明等</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Cs w:val="21"/>
              </w:rPr>
            </w:pPr>
            <w:r>
              <w:rPr>
                <w:rFonts w:hint="eastAsia" w:ascii="宋体" w:hAnsi="宋体"/>
                <w:szCs w:val="21"/>
              </w:rPr>
              <w:t>4</w:t>
            </w:r>
          </w:p>
        </w:tc>
        <w:tc>
          <w:tcPr>
            <w:tcW w:w="1276" w:type="dxa"/>
            <w:tcBorders>
              <w:right w:val="single" w:color="auto" w:sz="4" w:space="0"/>
            </w:tcBorders>
            <w:vAlign w:val="center"/>
          </w:tcPr>
          <w:p>
            <w:pPr>
              <w:rPr>
                <w:rFonts w:ascii="宋体" w:hAnsi="宋体"/>
                <w:szCs w:val="21"/>
              </w:rPr>
            </w:pPr>
            <w:r>
              <w:rPr>
                <w:rFonts w:hint="eastAsia" w:ascii="宋体" w:hAnsi="宋体"/>
                <w:szCs w:val="21"/>
              </w:rPr>
              <w:t>设备配备</w:t>
            </w:r>
          </w:p>
        </w:tc>
        <w:tc>
          <w:tcPr>
            <w:tcW w:w="1984" w:type="dxa"/>
            <w:tcBorders>
              <w:left w:val="single" w:color="auto" w:sz="4" w:space="0"/>
            </w:tcBorders>
            <w:vAlign w:val="center"/>
          </w:tcPr>
          <w:p>
            <w:pPr>
              <w:rPr>
                <w:rFonts w:ascii="宋体" w:hAnsi="宋体"/>
                <w:szCs w:val="21"/>
              </w:rPr>
            </w:pPr>
            <w:r>
              <w:rPr>
                <w:rFonts w:hint="eastAsia" w:ascii="宋体" w:hAnsi="宋体"/>
                <w:szCs w:val="21"/>
              </w:rPr>
              <w:t>校验设备：具有与申请核准项目相适应的校验设备（最高要求），具备自有产权、性能符合标准要求</w:t>
            </w:r>
          </w:p>
        </w:tc>
        <w:tc>
          <w:tcPr>
            <w:tcW w:w="3402" w:type="dxa"/>
            <w:vAlign w:val="center"/>
          </w:tcPr>
          <w:p>
            <w:pPr>
              <w:rPr>
                <w:rFonts w:ascii="宋体" w:hAnsi="宋体"/>
                <w:szCs w:val="21"/>
              </w:rPr>
            </w:pPr>
            <w:r>
              <w:rPr>
                <w:rFonts w:hint="eastAsia" w:ascii="宋体" w:hAnsi="宋体"/>
                <w:szCs w:val="21"/>
              </w:rPr>
              <w:t>校验仪器设备台账（包括设备名称、型号、公司内编号、出厂编号、</w:t>
            </w:r>
          </w:p>
          <w:p>
            <w:pPr>
              <w:rPr>
                <w:rFonts w:ascii="宋体" w:hAnsi="宋体"/>
                <w:szCs w:val="21"/>
              </w:rPr>
            </w:pPr>
            <w:r>
              <w:rPr>
                <w:rFonts w:hint="eastAsia" w:ascii="宋体" w:hAnsi="宋体"/>
                <w:szCs w:val="21"/>
              </w:rPr>
              <w:t>原值等）、固定资产审计报告、固定资产记账凭证（含购置票据、付款证明等）、设备实物、设备档案（含检定校准证明）、验资证明（入股设备）</w:t>
            </w:r>
          </w:p>
        </w:tc>
        <w:tc>
          <w:tcPr>
            <w:tcW w:w="1043" w:type="dxa"/>
            <w:vAlign w:val="center"/>
          </w:tcPr>
          <w:p>
            <w:pPr>
              <w:jc w:val="center"/>
              <w:rPr>
                <w:rFonts w:ascii="宋体" w:hAnsi="宋体"/>
                <w:szCs w:val="21"/>
              </w:rPr>
            </w:pPr>
            <w:r>
              <w:rPr>
                <w:rFonts w:hint="eastAsia" w:ascii="宋体" w:hAnsi="宋体"/>
                <w:szCs w:val="21"/>
              </w:rPr>
              <w:t>原件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jc w:val="center"/>
              <w:rPr>
                <w:rFonts w:ascii="宋体" w:hAnsi="宋体"/>
                <w:szCs w:val="21"/>
              </w:rPr>
            </w:pPr>
            <w:r>
              <w:rPr>
                <w:rFonts w:hint="eastAsia" w:ascii="宋体" w:hAnsi="宋体"/>
                <w:szCs w:val="21"/>
              </w:rPr>
              <w:t>5</w:t>
            </w:r>
          </w:p>
        </w:tc>
        <w:tc>
          <w:tcPr>
            <w:tcW w:w="1276" w:type="dxa"/>
            <w:tcBorders>
              <w:right w:val="single" w:color="auto" w:sz="4" w:space="0"/>
            </w:tcBorders>
            <w:vAlign w:val="center"/>
          </w:tcPr>
          <w:p>
            <w:pPr>
              <w:rPr>
                <w:rFonts w:ascii="宋体" w:hAnsi="宋体"/>
                <w:szCs w:val="21"/>
              </w:rPr>
            </w:pPr>
            <w:r>
              <w:rPr>
                <w:rFonts w:hint="eastAsia" w:ascii="宋体" w:hAnsi="宋体"/>
                <w:szCs w:val="21"/>
              </w:rPr>
              <w:t>法律法规 文件</w:t>
            </w:r>
          </w:p>
        </w:tc>
        <w:tc>
          <w:tcPr>
            <w:tcW w:w="1984" w:type="dxa"/>
            <w:tcBorders>
              <w:left w:val="single" w:color="auto" w:sz="4" w:space="0"/>
            </w:tcBorders>
            <w:vAlign w:val="center"/>
          </w:tcPr>
          <w:p>
            <w:pPr>
              <w:rPr>
                <w:rFonts w:ascii="宋体" w:hAnsi="宋体"/>
                <w:szCs w:val="21"/>
              </w:rPr>
            </w:pPr>
            <w:r>
              <w:rPr>
                <w:rFonts w:hint="eastAsia" w:ascii="宋体" w:hAnsi="宋体"/>
                <w:szCs w:val="21"/>
              </w:rPr>
              <w:t>配备与申请项目相关的法律、法规、规章、安全技术规范及相关标准</w:t>
            </w:r>
          </w:p>
        </w:tc>
        <w:tc>
          <w:tcPr>
            <w:tcW w:w="3402" w:type="dxa"/>
            <w:vAlign w:val="center"/>
          </w:tcPr>
          <w:p>
            <w:pPr>
              <w:rPr>
                <w:rFonts w:ascii="宋体" w:hAnsi="宋体"/>
                <w:szCs w:val="21"/>
              </w:rPr>
            </w:pPr>
            <w:r>
              <w:rPr>
                <w:rFonts w:hint="eastAsia" w:ascii="宋体" w:hAnsi="宋体"/>
                <w:szCs w:val="21"/>
              </w:rPr>
              <w:t>1、提供法律、法规、规章、安全技术规范和标准目录；</w:t>
            </w:r>
          </w:p>
          <w:p>
            <w:pPr>
              <w:rPr>
                <w:rFonts w:ascii="宋体" w:hAnsi="宋体"/>
                <w:szCs w:val="21"/>
              </w:rPr>
            </w:pPr>
            <w:r>
              <w:rPr>
                <w:rFonts w:hint="eastAsia" w:ascii="宋体" w:hAnsi="宋体"/>
                <w:szCs w:val="21"/>
              </w:rPr>
              <w:t>2、提供法律、法规、规章、安全技术规范和标准实物</w:t>
            </w:r>
          </w:p>
        </w:tc>
        <w:tc>
          <w:tcPr>
            <w:tcW w:w="1043" w:type="dxa"/>
            <w:vAlign w:val="center"/>
          </w:tcPr>
          <w:p>
            <w:pPr>
              <w:jc w:val="center"/>
              <w:rPr>
                <w:rFonts w:ascii="宋体" w:hAnsi="宋体"/>
                <w:szCs w:val="21"/>
              </w:rPr>
            </w:pPr>
            <w:r>
              <w:rPr>
                <w:rFonts w:hint="eastAsia" w:ascii="宋体" w:hAnsi="宋体"/>
                <w:szCs w:val="21"/>
              </w:rPr>
              <w:t>正版</w:t>
            </w:r>
          </w:p>
        </w:tc>
      </w:tr>
    </w:tbl>
    <w:p>
      <w:pPr>
        <w:spacing w:line="480" w:lineRule="auto"/>
        <w:outlineLvl w:val="0"/>
        <w:rPr>
          <w:rFonts w:ascii="宋体" w:hAnsi="宋体" w:cs="黑体"/>
          <w:b/>
          <w:sz w:val="24"/>
        </w:rPr>
      </w:pPr>
      <w:r>
        <w:rPr>
          <w:rFonts w:hint="eastAsia" w:ascii="宋体" w:hAnsi="宋体" w:cs="黑体"/>
          <w:b/>
          <w:sz w:val="24"/>
        </w:rPr>
        <w:t>5.2质量体系的建立与实施方面</w:t>
      </w:r>
    </w:p>
    <w:p>
      <w:pPr>
        <w:spacing w:line="360" w:lineRule="auto"/>
        <w:rPr>
          <w:rFonts w:ascii="宋体" w:hAnsi="宋体"/>
          <w:sz w:val="24"/>
        </w:rPr>
      </w:pPr>
      <w:r>
        <w:rPr>
          <w:rFonts w:hint="eastAsia" w:ascii="宋体" w:hAnsi="宋体"/>
          <w:sz w:val="24"/>
        </w:rPr>
        <w:t xml:space="preserve">    质量体系的建立与实施评审需要提供的见证材料及要求见表</w:t>
      </w:r>
      <w:r>
        <w:rPr>
          <w:rFonts w:ascii="宋体" w:hAnsi="宋体"/>
          <w:sz w:val="24"/>
        </w:rPr>
        <w:t>19</w:t>
      </w:r>
      <w:r>
        <w:rPr>
          <w:rFonts w:hint="eastAsia" w:ascii="宋体" w:hAnsi="宋体"/>
          <w:sz w:val="24"/>
        </w:rPr>
        <w:t>-2：</w:t>
      </w:r>
    </w:p>
    <w:p>
      <w:pPr>
        <w:spacing w:line="480" w:lineRule="auto"/>
        <w:jc w:val="center"/>
        <w:outlineLvl w:val="0"/>
        <w:rPr>
          <w:rFonts w:ascii="宋体" w:hAnsi="宋体" w:cs="黑体"/>
          <w:b/>
          <w:sz w:val="24"/>
        </w:rPr>
      </w:pPr>
      <w:r>
        <w:rPr>
          <w:rFonts w:hint="eastAsia" w:ascii="宋体" w:hAnsi="宋体" w:cs="黑体"/>
          <w:b/>
          <w:sz w:val="24"/>
        </w:rPr>
        <w:t>表</w:t>
      </w:r>
      <w:r>
        <w:rPr>
          <w:rFonts w:ascii="宋体" w:hAnsi="宋体" w:cs="黑体"/>
          <w:b/>
          <w:sz w:val="24"/>
        </w:rPr>
        <w:t>19</w:t>
      </w:r>
      <w:r>
        <w:rPr>
          <w:rFonts w:hint="eastAsia" w:ascii="宋体" w:hAnsi="宋体" w:cs="黑体"/>
          <w:b/>
          <w:sz w:val="24"/>
        </w:rPr>
        <w:t>-2  质量体系的建立与实施见证材料及要求</w:t>
      </w:r>
    </w:p>
    <w:tbl>
      <w:tblPr>
        <w:tblStyle w:val="17"/>
        <w:tblW w:w="86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76"/>
        <w:gridCol w:w="4361"/>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jc w:val="center"/>
        </w:trPr>
        <w:tc>
          <w:tcPr>
            <w:tcW w:w="1276" w:type="dxa"/>
            <w:vAlign w:val="center"/>
          </w:tcPr>
          <w:p>
            <w:pPr>
              <w:jc w:val="center"/>
              <w:rPr>
                <w:rFonts w:ascii="宋体" w:hAnsi="宋体"/>
                <w:szCs w:val="21"/>
              </w:rPr>
            </w:pPr>
            <w:r>
              <w:rPr>
                <w:rFonts w:hint="eastAsia" w:ascii="宋体" w:hAnsi="宋体"/>
                <w:szCs w:val="21"/>
              </w:rPr>
              <w:t>评审项目</w:t>
            </w:r>
          </w:p>
        </w:tc>
        <w:tc>
          <w:tcPr>
            <w:tcW w:w="4361" w:type="dxa"/>
            <w:vAlign w:val="center"/>
          </w:tcPr>
          <w:p>
            <w:pPr>
              <w:jc w:val="center"/>
              <w:rPr>
                <w:rFonts w:ascii="宋体" w:hAnsi="宋体"/>
                <w:szCs w:val="21"/>
              </w:rPr>
            </w:pPr>
            <w:r>
              <w:rPr>
                <w:rFonts w:hint="eastAsia" w:ascii="宋体" w:hAnsi="宋体"/>
                <w:szCs w:val="21"/>
              </w:rPr>
              <w:t>评审内容与要求</w:t>
            </w:r>
          </w:p>
        </w:tc>
        <w:tc>
          <w:tcPr>
            <w:tcW w:w="2976" w:type="dxa"/>
            <w:vAlign w:val="center"/>
          </w:tcPr>
          <w:p>
            <w:pPr>
              <w:jc w:val="center"/>
              <w:rPr>
                <w:rFonts w:ascii="宋体" w:hAnsi="宋体"/>
                <w:szCs w:val="21"/>
              </w:rPr>
            </w:pPr>
            <w:r>
              <w:rPr>
                <w:rFonts w:hint="eastAsia" w:ascii="宋体" w:hAnsi="宋体"/>
                <w:szCs w:val="21"/>
              </w:rPr>
              <w:t>提供评审验证的相关见证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1.质量体系文件的建立</w:t>
            </w:r>
          </w:p>
        </w:tc>
        <w:tc>
          <w:tcPr>
            <w:tcW w:w="4361" w:type="dxa"/>
            <w:vAlign w:val="center"/>
          </w:tcPr>
          <w:p>
            <w:pPr>
              <w:rPr>
                <w:rFonts w:ascii="宋体" w:hAnsi="宋体"/>
                <w:szCs w:val="21"/>
              </w:rPr>
            </w:pPr>
            <w:r>
              <w:rPr>
                <w:rFonts w:hint="eastAsia" w:ascii="宋体" w:hAnsi="宋体"/>
                <w:szCs w:val="21"/>
              </w:rPr>
              <w:t>查阅正式发布的质量管理体系文件（通常包括质量手册、程序文件、管理制度、作业指导文件、记录表格等）；</w:t>
            </w:r>
          </w:p>
          <w:p>
            <w:pPr>
              <w:rPr>
                <w:rFonts w:ascii="宋体" w:hAnsi="宋体"/>
                <w:szCs w:val="21"/>
              </w:rPr>
            </w:pPr>
            <w:r>
              <w:rPr>
                <w:rFonts w:hint="eastAsia" w:ascii="宋体" w:hAnsi="宋体"/>
                <w:szCs w:val="21"/>
              </w:rPr>
              <w:t>质量管理体系文件结构层次清晰合理，审批手续齐全有效，各类标识符合要求。</w:t>
            </w:r>
          </w:p>
        </w:tc>
        <w:tc>
          <w:tcPr>
            <w:tcW w:w="2976" w:type="dxa"/>
            <w:vAlign w:val="center"/>
          </w:tcPr>
          <w:p>
            <w:pPr>
              <w:rPr>
                <w:rFonts w:ascii="宋体" w:hAnsi="宋体"/>
                <w:szCs w:val="21"/>
              </w:rPr>
            </w:pPr>
            <w:r>
              <w:rPr>
                <w:rFonts w:hint="eastAsia" w:ascii="宋体" w:hAnsi="宋体"/>
                <w:szCs w:val="21"/>
              </w:rPr>
              <w:t>提供完整的、经正式颁布实施的：</w:t>
            </w:r>
          </w:p>
          <w:p>
            <w:pPr>
              <w:rPr>
                <w:rFonts w:ascii="宋体" w:hAnsi="宋体"/>
                <w:szCs w:val="21"/>
              </w:rPr>
            </w:pPr>
            <w:r>
              <w:rPr>
                <w:rFonts w:hint="eastAsia" w:ascii="宋体" w:hAnsi="宋体"/>
                <w:szCs w:val="21"/>
              </w:rPr>
              <w:t>质量手册；</w:t>
            </w:r>
          </w:p>
          <w:p>
            <w:pPr>
              <w:rPr>
                <w:rFonts w:ascii="宋体" w:hAnsi="宋体"/>
                <w:szCs w:val="21"/>
              </w:rPr>
            </w:pPr>
            <w:r>
              <w:rPr>
                <w:rFonts w:hint="eastAsia" w:ascii="宋体" w:hAnsi="宋体"/>
                <w:szCs w:val="21"/>
              </w:rPr>
              <w:t>程序文件；</w:t>
            </w:r>
          </w:p>
          <w:p>
            <w:pPr>
              <w:rPr>
                <w:rFonts w:ascii="宋体" w:hAnsi="宋体"/>
                <w:szCs w:val="21"/>
              </w:rPr>
            </w:pPr>
            <w:r>
              <w:rPr>
                <w:rFonts w:hint="eastAsia" w:ascii="宋体" w:hAnsi="宋体"/>
                <w:szCs w:val="21"/>
              </w:rPr>
              <w:t>管理制度；</w:t>
            </w:r>
          </w:p>
          <w:p>
            <w:pPr>
              <w:rPr>
                <w:rFonts w:ascii="宋体" w:hAnsi="宋体"/>
                <w:szCs w:val="21"/>
              </w:rPr>
            </w:pPr>
            <w:r>
              <w:rPr>
                <w:rFonts w:hint="eastAsia" w:ascii="宋体" w:hAnsi="宋体"/>
                <w:szCs w:val="21"/>
              </w:rPr>
              <w:t>作业指导文件；</w:t>
            </w:r>
          </w:p>
          <w:p>
            <w:pPr>
              <w:rPr>
                <w:rFonts w:ascii="宋体" w:hAnsi="宋体"/>
                <w:szCs w:val="21"/>
              </w:rPr>
            </w:pPr>
            <w:r>
              <w:rPr>
                <w:rFonts w:hint="eastAsia" w:ascii="宋体" w:hAnsi="宋体"/>
                <w:szCs w:val="21"/>
              </w:rPr>
              <w:t>记录表格等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2.质量手册的建立</w:t>
            </w:r>
          </w:p>
        </w:tc>
        <w:tc>
          <w:tcPr>
            <w:tcW w:w="4361" w:type="dxa"/>
            <w:vAlign w:val="center"/>
          </w:tcPr>
          <w:p>
            <w:pPr>
              <w:rPr>
                <w:rFonts w:ascii="宋体" w:hAnsi="宋体"/>
                <w:szCs w:val="21"/>
              </w:rPr>
            </w:pPr>
            <w:r>
              <w:rPr>
                <w:rFonts w:hint="eastAsia" w:ascii="宋体" w:hAnsi="宋体"/>
                <w:szCs w:val="21"/>
              </w:rPr>
              <w:t>质量管理手册应当包括质量方针与目标、适用范围、机构概述、组织机构、组织职责与隶属关系、岗位职责与权限、质量要素及关系描述、引用文件等</w:t>
            </w:r>
          </w:p>
        </w:tc>
        <w:tc>
          <w:tcPr>
            <w:tcW w:w="2976" w:type="dxa"/>
            <w:vAlign w:val="center"/>
          </w:tcPr>
          <w:p>
            <w:pPr>
              <w:rPr>
                <w:rFonts w:ascii="宋体" w:hAnsi="宋体"/>
                <w:szCs w:val="21"/>
              </w:rPr>
            </w:pPr>
            <w:r>
              <w:rPr>
                <w:rFonts w:hint="eastAsia" w:ascii="宋体" w:hAnsi="宋体"/>
                <w:szCs w:val="21"/>
              </w:rPr>
              <w:t>经正式颁布实施的质量手册</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3" w:hRule="atLeast"/>
          <w:jc w:val="center"/>
        </w:trPr>
        <w:tc>
          <w:tcPr>
            <w:tcW w:w="1276" w:type="dxa"/>
            <w:vAlign w:val="center"/>
          </w:tcPr>
          <w:p>
            <w:pPr>
              <w:rPr>
                <w:rFonts w:ascii="宋体" w:hAnsi="宋体"/>
                <w:szCs w:val="21"/>
              </w:rPr>
            </w:pPr>
            <w:r>
              <w:rPr>
                <w:rFonts w:hint="eastAsia" w:ascii="宋体" w:hAnsi="宋体"/>
                <w:szCs w:val="21"/>
              </w:rPr>
              <w:t>3.1文件控制程序的建立</w:t>
            </w:r>
          </w:p>
        </w:tc>
        <w:tc>
          <w:tcPr>
            <w:tcW w:w="4361" w:type="dxa"/>
            <w:vAlign w:val="center"/>
          </w:tcPr>
          <w:p>
            <w:pPr>
              <w:rPr>
                <w:rFonts w:ascii="宋体" w:hAnsi="宋体"/>
                <w:szCs w:val="21"/>
              </w:rPr>
            </w:pPr>
            <w:r>
              <w:rPr>
                <w:rFonts w:hint="eastAsia" w:ascii="宋体" w:hAnsi="宋体"/>
                <w:szCs w:val="21"/>
              </w:rPr>
              <w:t>文件控制程序一般包括对文件的分类、编制和审批、标识、发放、使用、评审、更改、回收和作废、外来文件、媒介文件控制等控制点</w:t>
            </w:r>
          </w:p>
        </w:tc>
        <w:tc>
          <w:tcPr>
            <w:tcW w:w="2976" w:type="dxa"/>
            <w:vAlign w:val="center"/>
          </w:tcPr>
          <w:p>
            <w:pPr>
              <w:rPr>
                <w:rFonts w:ascii="宋体" w:hAnsi="宋体"/>
                <w:szCs w:val="21"/>
              </w:rPr>
            </w:pPr>
            <w:r>
              <w:rPr>
                <w:rFonts w:hint="eastAsia" w:ascii="宋体" w:hAnsi="宋体"/>
                <w:szCs w:val="21"/>
              </w:rPr>
              <w:t>经正式颁布实施的文件控制程序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3.2文件控制程序的实施</w:t>
            </w:r>
          </w:p>
        </w:tc>
        <w:tc>
          <w:tcPr>
            <w:tcW w:w="4361" w:type="dxa"/>
            <w:vAlign w:val="center"/>
          </w:tcPr>
          <w:p>
            <w:pPr>
              <w:rPr>
                <w:rFonts w:ascii="宋体" w:hAnsi="宋体"/>
                <w:szCs w:val="21"/>
              </w:rPr>
            </w:pPr>
            <w:r>
              <w:rPr>
                <w:rFonts w:hint="eastAsia" w:ascii="宋体" w:hAnsi="宋体"/>
                <w:szCs w:val="21"/>
              </w:rPr>
              <w:t>查阅文件控制各控制点的见证材料</w:t>
            </w:r>
          </w:p>
        </w:tc>
        <w:tc>
          <w:tcPr>
            <w:tcW w:w="2976" w:type="dxa"/>
            <w:vAlign w:val="center"/>
          </w:tcPr>
          <w:p>
            <w:pPr>
              <w:rPr>
                <w:rFonts w:ascii="宋体" w:hAnsi="宋体"/>
                <w:szCs w:val="21"/>
              </w:rPr>
            </w:pPr>
            <w:r>
              <w:rPr>
                <w:rFonts w:hint="eastAsia" w:ascii="宋体" w:hAnsi="宋体"/>
                <w:szCs w:val="21"/>
              </w:rPr>
              <w:t>编制和审批的见证材料；</w:t>
            </w:r>
          </w:p>
          <w:p>
            <w:pPr>
              <w:rPr>
                <w:rFonts w:ascii="宋体" w:hAnsi="宋体"/>
                <w:szCs w:val="21"/>
              </w:rPr>
            </w:pPr>
            <w:r>
              <w:rPr>
                <w:rFonts w:hint="eastAsia" w:ascii="宋体" w:hAnsi="宋体"/>
                <w:szCs w:val="21"/>
              </w:rPr>
              <w:t>发放的见证材料；</w:t>
            </w:r>
          </w:p>
          <w:p>
            <w:pPr>
              <w:rPr>
                <w:rFonts w:ascii="宋体" w:hAnsi="宋体"/>
                <w:szCs w:val="21"/>
              </w:rPr>
            </w:pPr>
            <w:r>
              <w:rPr>
                <w:rFonts w:hint="eastAsia" w:ascii="宋体" w:hAnsi="宋体"/>
                <w:szCs w:val="21"/>
              </w:rPr>
              <w:t>评审的见证材料；</w:t>
            </w:r>
          </w:p>
          <w:p>
            <w:pPr>
              <w:rPr>
                <w:rFonts w:ascii="宋体" w:hAnsi="宋体"/>
                <w:szCs w:val="21"/>
              </w:rPr>
            </w:pPr>
            <w:r>
              <w:rPr>
                <w:rFonts w:hint="eastAsia" w:ascii="宋体" w:hAnsi="宋体"/>
                <w:szCs w:val="21"/>
              </w:rPr>
              <w:t>修订的见证材料；</w:t>
            </w:r>
          </w:p>
          <w:p>
            <w:pPr>
              <w:rPr>
                <w:rFonts w:ascii="宋体" w:hAnsi="宋体"/>
                <w:szCs w:val="21"/>
              </w:rPr>
            </w:pPr>
            <w:r>
              <w:rPr>
                <w:rFonts w:hint="eastAsia" w:ascii="宋体" w:hAnsi="宋体"/>
                <w:szCs w:val="21"/>
              </w:rPr>
              <w:t>回收与作废的见证材料；</w:t>
            </w:r>
          </w:p>
          <w:p>
            <w:pPr>
              <w:rPr>
                <w:rFonts w:ascii="宋体" w:hAnsi="宋体"/>
                <w:szCs w:val="21"/>
              </w:rPr>
            </w:pPr>
            <w:r>
              <w:rPr>
                <w:rFonts w:hint="eastAsia" w:ascii="宋体" w:hAnsi="宋体"/>
                <w:szCs w:val="21"/>
              </w:rPr>
              <w:t>外来文件控制的见证材料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4.1记录控制程序的建立</w:t>
            </w:r>
          </w:p>
        </w:tc>
        <w:tc>
          <w:tcPr>
            <w:tcW w:w="4361" w:type="dxa"/>
            <w:vAlign w:val="center"/>
          </w:tcPr>
          <w:p>
            <w:pPr>
              <w:rPr>
                <w:rFonts w:ascii="宋体" w:hAnsi="宋体"/>
                <w:szCs w:val="21"/>
              </w:rPr>
            </w:pPr>
            <w:r>
              <w:rPr>
                <w:rFonts w:hint="eastAsia" w:ascii="宋体" w:hAnsi="宋体"/>
                <w:szCs w:val="21"/>
              </w:rPr>
              <w:t>记录控制程序一般包括记录格式、标识、填写、信息收集、保存、保存期限和处置等控制点</w:t>
            </w:r>
          </w:p>
        </w:tc>
        <w:tc>
          <w:tcPr>
            <w:tcW w:w="2976" w:type="dxa"/>
            <w:vAlign w:val="center"/>
          </w:tcPr>
          <w:p>
            <w:pPr>
              <w:rPr>
                <w:rFonts w:ascii="宋体" w:hAnsi="宋体"/>
                <w:szCs w:val="21"/>
              </w:rPr>
            </w:pPr>
            <w:r>
              <w:rPr>
                <w:rFonts w:hint="eastAsia" w:ascii="宋体" w:hAnsi="宋体"/>
                <w:szCs w:val="21"/>
              </w:rPr>
              <w:t>经正式颁布实施的记录控制程序文件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4.2记录控制程序的实施</w:t>
            </w:r>
          </w:p>
        </w:tc>
        <w:tc>
          <w:tcPr>
            <w:tcW w:w="4361" w:type="dxa"/>
            <w:vAlign w:val="center"/>
          </w:tcPr>
          <w:p>
            <w:pPr>
              <w:rPr>
                <w:rFonts w:ascii="宋体" w:hAnsi="宋体"/>
                <w:szCs w:val="21"/>
              </w:rPr>
            </w:pPr>
            <w:r>
              <w:rPr>
                <w:rFonts w:hint="eastAsia" w:ascii="宋体" w:hAnsi="宋体"/>
                <w:szCs w:val="21"/>
              </w:rPr>
              <w:t>查阅空白记录文件的管理、记录更改审批见证材料</w:t>
            </w:r>
          </w:p>
        </w:tc>
        <w:tc>
          <w:tcPr>
            <w:tcW w:w="2976" w:type="dxa"/>
            <w:vAlign w:val="center"/>
          </w:tcPr>
          <w:p>
            <w:pPr>
              <w:rPr>
                <w:rFonts w:ascii="宋体" w:hAnsi="宋体"/>
                <w:szCs w:val="21"/>
              </w:rPr>
            </w:pPr>
            <w:r>
              <w:rPr>
                <w:rFonts w:hint="eastAsia" w:ascii="宋体" w:hAnsi="宋体"/>
                <w:szCs w:val="21"/>
              </w:rPr>
              <w:t>作废记录文件的处置记录；</w:t>
            </w:r>
          </w:p>
          <w:p>
            <w:pPr>
              <w:rPr>
                <w:rFonts w:ascii="宋体" w:hAnsi="宋体"/>
                <w:szCs w:val="21"/>
              </w:rPr>
            </w:pPr>
            <w:r>
              <w:rPr>
                <w:rFonts w:hint="eastAsia" w:ascii="宋体" w:hAnsi="宋体"/>
                <w:szCs w:val="21"/>
              </w:rPr>
              <w:t>记录更改的审批材料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72" w:hRule="atLeast"/>
          <w:jc w:val="center"/>
        </w:trPr>
        <w:tc>
          <w:tcPr>
            <w:tcW w:w="1276" w:type="dxa"/>
            <w:vAlign w:val="center"/>
          </w:tcPr>
          <w:p>
            <w:pPr>
              <w:rPr>
                <w:rFonts w:ascii="宋体" w:hAnsi="宋体"/>
                <w:szCs w:val="21"/>
              </w:rPr>
            </w:pPr>
            <w:r>
              <w:rPr>
                <w:rFonts w:hint="eastAsia" w:ascii="宋体" w:hAnsi="宋体"/>
                <w:szCs w:val="21"/>
              </w:rPr>
              <w:t>5.1质量方针和质量目标</w:t>
            </w:r>
          </w:p>
        </w:tc>
        <w:tc>
          <w:tcPr>
            <w:tcW w:w="4361" w:type="dxa"/>
            <w:vAlign w:val="center"/>
          </w:tcPr>
          <w:p>
            <w:pPr>
              <w:rPr>
                <w:rFonts w:ascii="宋体" w:hAnsi="宋体"/>
                <w:szCs w:val="21"/>
              </w:rPr>
            </w:pPr>
            <w:r>
              <w:rPr>
                <w:rFonts w:hint="eastAsia" w:ascii="宋体" w:hAnsi="宋体"/>
                <w:szCs w:val="21"/>
              </w:rPr>
              <w:t>质量方针应由最高管理者制定，质量方针文件由最高管理者签发，且最高管理者应对质量方针的实现负责；</w:t>
            </w:r>
          </w:p>
          <w:p>
            <w:pPr>
              <w:rPr>
                <w:rFonts w:ascii="宋体" w:hAnsi="宋体"/>
                <w:szCs w:val="21"/>
              </w:rPr>
            </w:pPr>
            <w:r>
              <w:rPr>
                <w:rFonts w:hint="eastAsia" w:ascii="宋体" w:hAnsi="宋体"/>
                <w:szCs w:val="21"/>
              </w:rPr>
              <w:t>制定的质量方针应与校验机构的工作相适应；</w:t>
            </w:r>
          </w:p>
          <w:p>
            <w:pPr>
              <w:rPr>
                <w:rFonts w:ascii="宋体" w:hAnsi="宋体"/>
                <w:szCs w:val="21"/>
              </w:rPr>
            </w:pPr>
            <w:r>
              <w:rPr>
                <w:rFonts w:hint="eastAsia" w:ascii="宋体" w:hAnsi="宋体"/>
                <w:szCs w:val="21"/>
              </w:rPr>
              <w:t>质量目标可量化考核；</w:t>
            </w:r>
          </w:p>
          <w:p>
            <w:pPr>
              <w:rPr>
                <w:rFonts w:ascii="宋体" w:hAnsi="宋体"/>
                <w:szCs w:val="21"/>
              </w:rPr>
            </w:pPr>
            <w:r>
              <w:rPr>
                <w:rFonts w:hint="eastAsia" w:ascii="宋体" w:hAnsi="宋体"/>
                <w:szCs w:val="21"/>
              </w:rPr>
              <w:t>质量目标应展开分解到机构各个部门</w:t>
            </w:r>
          </w:p>
        </w:tc>
        <w:tc>
          <w:tcPr>
            <w:tcW w:w="2976" w:type="dxa"/>
            <w:vAlign w:val="center"/>
          </w:tcPr>
          <w:p>
            <w:pPr>
              <w:rPr>
                <w:rFonts w:ascii="宋体" w:hAnsi="宋体"/>
                <w:szCs w:val="21"/>
              </w:rPr>
            </w:pPr>
            <w:r>
              <w:rPr>
                <w:rFonts w:hint="eastAsia" w:ascii="宋体" w:hAnsi="宋体"/>
                <w:szCs w:val="21"/>
              </w:rPr>
              <w:t>质量方针发布的文件；</w:t>
            </w:r>
          </w:p>
          <w:p>
            <w:pPr>
              <w:rPr>
                <w:rFonts w:ascii="宋体" w:hAnsi="宋体"/>
                <w:szCs w:val="21"/>
              </w:rPr>
            </w:pPr>
            <w:r>
              <w:rPr>
                <w:rFonts w:hint="eastAsia" w:ascii="宋体" w:hAnsi="宋体"/>
                <w:szCs w:val="21"/>
              </w:rPr>
              <w:t>质量方针、质量目标文件；</w:t>
            </w:r>
          </w:p>
          <w:p>
            <w:pPr>
              <w:rPr>
                <w:rFonts w:ascii="宋体" w:hAnsi="宋体"/>
                <w:szCs w:val="21"/>
              </w:rPr>
            </w:pPr>
            <w:r>
              <w:rPr>
                <w:rFonts w:hint="eastAsia" w:ascii="宋体" w:hAnsi="宋体"/>
                <w:szCs w:val="21"/>
              </w:rPr>
              <w:t>质量目标考核办法文件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5.2质量目</w:t>
            </w:r>
          </w:p>
          <w:p>
            <w:pPr>
              <w:rPr>
                <w:rFonts w:ascii="宋体" w:hAnsi="宋体"/>
                <w:szCs w:val="21"/>
              </w:rPr>
            </w:pPr>
            <w:r>
              <w:rPr>
                <w:rFonts w:hint="eastAsia" w:ascii="宋体" w:hAnsi="宋体"/>
                <w:szCs w:val="21"/>
              </w:rPr>
              <w:t>标考核</w:t>
            </w:r>
          </w:p>
        </w:tc>
        <w:tc>
          <w:tcPr>
            <w:tcW w:w="4361" w:type="dxa"/>
            <w:vAlign w:val="center"/>
          </w:tcPr>
          <w:p>
            <w:pPr>
              <w:rPr>
                <w:rFonts w:ascii="宋体" w:hAnsi="宋体"/>
                <w:szCs w:val="21"/>
              </w:rPr>
            </w:pPr>
            <w:r>
              <w:rPr>
                <w:rFonts w:hint="eastAsia" w:ascii="宋体" w:hAnsi="宋体"/>
                <w:szCs w:val="21"/>
              </w:rPr>
              <w:t>查阅每年一次的质量目标分解与考核见证材料</w:t>
            </w:r>
          </w:p>
        </w:tc>
        <w:tc>
          <w:tcPr>
            <w:tcW w:w="2976" w:type="dxa"/>
            <w:vAlign w:val="center"/>
          </w:tcPr>
          <w:p>
            <w:pPr>
              <w:rPr>
                <w:rFonts w:ascii="宋体" w:hAnsi="宋体"/>
                <w:szCs w:val="21"/>
              </w:rPr>
            </w:pPr>
            <w:r>
              <w:rPr>
                <w:rFonts w:hint="eastAsia" w:ascii="宋体" w:hAnsi="宋体"/>
                <w:szCs w:val="21"/>
              </w:rPr>
              <w:t>提供每一年度的质量目标分解记录、考核记录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6.1管理评审控制程序的建立</w:t>
            </w:r>
          </w:p>
        </w:tc>
        <w:tc>
          <w:tcPr>
            <w:tcW w:w="4361" w:type="dxa"/>
            <w:vAlign w:val="center"/>
          </w:tcPr>
          <w:p>
            <w:pPr>
              <w:rPr>
                <w:rFonts w:ascii="宋体" w:hAnsi="宋体"/>
                <w:szCs w:val="21"/>
              </w:rPr>
            </w:pPr>
            <w:r>
              <w:rPr>
                <w:rFonts w:hint="eastAsia" w:ascii="宋体" w:hAnsi="宋体"/>
                <w:szCs w:val="21"/>
              </w:rPr>
              <w:t>管理评审控制程序至少包括评审时机、计划、输入、评审与输出等控制点</w:t>
            </w:r>
          </w:p>
        </w:tc>
        <w:tc>
          <w:tcPr>
            <w:tcW w:w="2976" w:type="dxa"/>
            <w:vAlign w:val="center"/>
          </w:tcPr>
          <w:p>
            <w:pPr>
              <w:rPr>
                <w:rFonts w:ascii="宋体" w:hAnsi="宋体"/>
                <w:szCs w:val="21"/>
              </w:rPr>
            </w:pPr>
            <w:r>
              <w:rPr>
                <w:rFonts w:hint="eastAsia" w:ascii="宋体" w:hAnsi="宋体"/>
                <w:szCs w:val="21"/>
              </w:rPr>
              <w:t>经正式颁布实施的管理评审控制程序文件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6.2管理评审控制程序的实施</w:t>
            </w:r>
          </w:p>
        </w:tc>
        <w:tc>
          <w:tcPr>
            <w:tcW w:w="4361" w:type="dxa"/>
            <w:vAlign w:val="center"/>
          </w:tcPr>
          <w:p>
            <w:pPr>
              <w:rPr>
                <w:rFonts w:ascii="宋体" w:hAnsi="宋体"/>
                <w:szCs w:val="21"/>
              </w:rPr>
            </w:pPr>
            <w:r>
              <w:rPr>
                <w:rFonts w:hint="eastAsia" w:ascii="宋体" w:hAnsi="宋体"/>
                <w:szCs w:val="21"/>
              </w:rPr>
              <w:t>查阅每年一次管理评审的见证材料</w:t>
            </w:r>
          </w:p>
        </w:tc>
        <w:tc>
          <w:tcPr>
            <w:tcW w:w="2976" w:type="dxa"/>
            <w:vAlign w:val="center"/>
          </w:tcPr>
          <w:p>
            <w:pPr>
              <w:rPr>
                <w:rFonts w:ascii="宋体" w:hAnsi="宋体"/>
                <w:szCs w:val="21"/>
              </w:rPr>
            </w:pPr>
            <w:r>
              <w:rPr>
                <w:rFonts w:hint="eastAsia" w:ascii="宋体" w:hAnsi="宋体"/>
                <w:szCs w:val="21"/>
              </w:rPr>
              <w:t>提供管理评审计划；</w:t>
            </w:r>
          </w:p>
          <w:p>
            <w:pPr>
              <w:rPr>
                <w:rFonts w:ascii="宋体" w:hAnsi="宋体"/>
                <w:szCs w:val="21"/>
              </w:rPr>
            </w:pPr>
            <w:r>
              <w:rPr>
                <w:rFonts w:hint="eastAsia" w:ascii="宋体" w:hAnsi="宋体"/>
                <w:szCs w:val="21"/>
              </w:rPr>
              <w:t>会议通知；</w:t>
            </w:r>
          </w:p>
          <w:p>
            <w:pPr>
              <w:rPr>
                <w:rFonts w:ascii="宋体" w:hAnsi="宋体"/>
                <w:szCs w:val="21"/>
              </w:rPr>
            </w:pPr>
            <w:r>
              <w:rPr>
                <w:rFonts w:hint="eastAsia" w:ascii="宋体" w:hAnsi="宋体"/>
                <w:szCs w:val="21"/>
              </w:rPr>
              <w:t>输入资料；</w:t>
            </w:r>
          </w:p>
          <w:p>
            <w:pPr>
              <w:rPr>
                <w:rFonts w:ascii="宋体" w:hAnsi="宋体"/>
                <w:szCs w:val="21"/>
              </w:rPr>
            </w:pPr>
            <w:r>
              <w:rPr>
                <w:rFonts w:hint="eastAsia" w:ascii="宋体" w:hAnsi="宋体"/>
                <w:szCs w:val="21"/>
              </w:rPr>
              <w:t>管理评审输出报告等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7.1人力资源管理控制程序的建立</w:t>
            </w:r>
          </w:p>
        </w:tc>
        <w:tc>
          <w:tcPr>
            <w:tcW w:w="4361" w:type="dxa"/>
            <w:vAlign w:val="center"/>
          </w:tcPr>
          <w:p>
            <w:pPr>
              <w:rPr>
                <w:rFonts w:ascii="宋体" w:hAnsi="宋体"/>
                <w:szCs w:val="21"/>
              </w:rPr>
            </w:pPr>
            <w:r>
              <w:rPr>
                <w:rFonts w:hint="eastAsia" w:ascii="宋体" w:hAnsi="宋体"/>
                <w:szCs w:val="21"/>
              </w:rPr>
              <w:t>人力资源管理程序一般包括对人员配备、聘用、资格与能力确认、培训与考核、人员档案等控制点</w:t>
            </w:r>
          </w:p>
        </w:tc>
        <w:tc>
          <w:tcPr>
            <w:tcW w:w="2976" w:type="dxa"/>
            <w:vAlign w:val="center"/>
          </w:tcPr>
          <w:p>
            <w:pPr>
              <w:rPr>
                <w:rFonts w:ascii="宋体" w:hAnsi="宋体"/>
                <w:szCs w:val="21"/>
              </w:rPr>
            </w:pPr>
            <w:r>
              <w:rPr>
                <w:rFonts w:hint="eastAsia" w:ascii="宋体" w:hAnsi="宋体"/>
                <w:szCs w:val="21"/>
              </w:rPr>
              <w:t>经正式颁布实施的人力资源管理控制程序文件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7.2人力资源管理控制程序的实施</w:t>
            </w:r>
          </w:p>
        </w:tc>
        <w:tc>
          <w:tcPr>
            <w:tcW w:w="4361" w:type="dxa"/>
            <w:vAlign w:val="center"/>
          </w:tcPr>
          <w:p>
            <w:pPr>
              <w:rPr>
                <w:rFonts w:ascii="宋体" w:hAnsi="宋体"/>
                <w:szCs w:val="21"/>
              </w:rPr>
            </w:pPr>
            <w:r>
              <w:rPr>
                <w:rFonts w:hint="eastAsia" w:ascii="宋体" w:hAnsi="宋体"/>
                <w:szCs w:val="21"/>
              </w:rPr>
              <w:t>查阅人员管理控制各控制点的见证材料</w:t>
            </w:r>
          </w:p>
        </w:tc>
        <w:tc>
          <w:tcPr>
            <w:tcW w:w="2976" w:type="dxa"/>
            <w:vAlign w:val="center"/>
          </w:tcPr>
          <w:p>
            <w:pPr>
              <w:rPr>
                <w:rFonts w:ascii="宋体" w:hAnsi="宋体"/>
                <w:szCs w:val="21"/>
              </w:rPr>
            </w:pPr>
            <w:r>
              <w:rPr>
                <w:rFonts w:hint="eastAsia" w:ascii="宋体" w:hAnsi="宋体"/>
                <w:szCs w:val="21"/>
              </w:rPr>
              <w:t>聘用合同；</w:t>
            </w:r>
          </w:p>
          <w:p>
            <w:pPr>
              <w:rPr>
                <w:rFonts w:ascii="宋体" w:hAnsi="宋体"/>
                <w:szCs w:val="21"/>
              </w:rPr>
            </w:pPr>
            <w:r>
              <w:rPr>
                <w:rFonts w:hint="eastAsia" w:ascii="宋体" w:hAnsi="宋体"/>
                <w:szCs w:val="21"/>
              </w:rPr>
              <w:t>上岗能力确认材料；</w:t>
            </w:r>
          </w:p>
          <w:p>
            <w:pPr>
              <w:rPr>
                <w:rFonts w:ascii="宋体" w:hAnsi="宋体"/>
                <w:szCs w:val="21"/>
              </w:rPr>
            </w:pPr>
            <w:r>
              <w:rPr>
                <w:rFonts w:hint="eastAsia" w:ascii="宋体" w:hAnsi="宋体"/>
                <w:szCs w:val="21"/>
              </w:rPr>
              <w:t>年度培训计划；</w:t>
            </w:r>
          </w:p>
          <w:p>
            <w:pPr>
              <w:rPr>
                <w:rFonts w:ascii="宋体" w:hAnsi="宋体"/>
                <w:szCs w:val="21"/>
              </w:rPr>
            </w:pPr>
            <w:r>
              <w:rPr>
                <w:rFonts w:hint="eastAsia" w:ascii="宋体" w:hAnsi="宋体"/>
                <w:szCs w:val="21"/>
              </w:rPr>
              <w:t>培训记录；</w:t>
            </w:r>
          </w:p>
          <w:p>
            <w:pPr>
              <w:rPr>
                <w:rFonts w:ascii="宋体" w:hAnsi="宋体"/>
                <w:szCs w:val="21"/>
              </w:rPr>
            </w:pPr>
            <w:r>
              <w:rPr>
                <w:rFonts w:hint="eastAsia" w:ascii="宋体" w:hAnsi="宋体"/>
                <w:szCs w:val="21"/>
              </w:rPr>
              <w:t>考核记录；</w:t>
            </w:r>
          </w:p>
          <w:p>
            <w:pPr>
              <w:rPr>
                <w:rFonts w:ascii="宋体" w:hAnsi="宋体"/>
                <w:szCs w:val="21"/>
              </w:rPr>
            </w:pPr>
            <w:r>
              <w:rPr>
                <w:rFonts w:hint="eastAsia" w:ascii="宋体" w:hAnsi="宋体"/>
                <w:szCs w:val="21"/>
              </w:rPr>
              <w:t>持证人员技术档案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8.1校验设备控制程序的建立</w:t>
            </w:r>
          </w:p>
        </w:tc>
        <w:tc>
          <w:tcPr>
            <w:tcW w:w="4361" w:type="dxa"/>
            <w:vAlign w:val="center"/>
          </w:tcPr>
          <w:p>
            <w:pPr>
              <w:rPr>
                <w:rFonts w:ascii="宋体" w:hAnsi="宋体"/>
                <w:szCs w:val="21"/>
              </w:rPr>
            </w:pPr>
            <w:r>
              <w:rPr>
                <w:rFonts w:hint="eastAsia" w:ascii="宋体" w:hAnsi="宋体"/>
                <w:szCs w:val="21"/>
              </w:rPr>
              <w:t>校验设备控制程序通常包括校验设备的采购验收、管理台账与标识、检定（校准）、使用管理、异常处置、保存、档案管理等控制点</w:t>
            </w:r>
          </w:p>
        </w:tc>
        <w:tc>
          <w:tcPr>
            <w:tcW w:w="2976" w:type="dxa"/>
            <w:vAlign w:val="center"/>
          </w:tcPr>
          <w:p>
            <w:pPr>
              <w:rPr>
                <w:rFonts w:ascii="宋体" w:hAnsi="宋体"/>
                <w:szCs w:val="21"/>
              </w:rPr>
            </w:pPr>
            <w:r>
              <w:rPr>
                <w:rFonts w:hint="eastAsia" w:ascii="宋体" w:hAnsi="宋体"/>
                <w:szCs w:val="21"/>
              </w:rPr>
              <w:t>经正式颁布实施的校验设备控制程序文件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8.2校验设备控制程序的实施</w:t>
            </w:r>
          </w:p>
        </w:tc>
        <w:tc>
          <w:tcPr>
            <w:tcW w:w="4361" w:type="dxa"/>
            <w:vAlign w:val="center"/>
          </w:tcPr>
          <w:p>
            <w:pPr>
              <w:rPr>
                <w:rFonts w:ascii="宋体" w:hAnsi="宋体"/>
                <w:szCs w:val="21"/>
              </w:rPr>
            </w:pPr>
            <w:r>
              <w:rPr>
                <w:rFonts w:hint="eastAsia" w:ascii="宋体" w:hAnsi="宋体"/>
                <w:szCs w:val="21"/>
              </w:rPr>
              <w:t>查阅校验设备控制各控制点的见证材料</w:t>
            </w:r>
          </w:p>
        </w:tc>
        <w:tc>
          <w:tcPr>
            <w:tcW w:w="2976" w:type="dxa"/>
            <w:vAlign w:val="center"/>
          </w:tcPr>
          <w:p>
            <w:pPr>
              <w:rPr>
                <w:rFonts w:ascii="宋体" w:hAnsi="宋体"/>
                <w:szCs w:val="21"/>
              </w:rPr>
            </w:pPr>
            <w:r>
              <w:rPr>
                <w:rFonts w:hint="eastAsia" w:ascii="宋体" w:hAnsi="宋体"/>
                <w:szCs w:val="21"/>
              </w:rPr>
              <w:t>《校验设备台帐》；</w:t>
            </w:r>
          </w:p>
          <w:p>
            <w:pPr>
              <w:rPr>
                <w:rFonts w:ascii="宋体" w:hAnsi="宋体"/>
                <w:szCs w:val="21"/>
              </w:rPr>
            </w:pPr>
            <w:r>
              <w:rPr>
                <w:rFonts w:hint="eastAsia" w:ascii="宋体" w:hAnsi="宋体"/>
                <w:szCs w:val="21"/>
              </w:rPr>
              <w:t>检定/校准计划；</w:t>
            </w:r>
          </w:p>
          <w:p>
            <w:pPr>
              <w:rPr>
                <w:rFonts w:ascii="宋体" w:hAnsi="宋体"/>
                <w:szCs w:val="21"/>
              </w:rPr>
            </w:pPr>
            <w:r>
              <w:rPr>
                <w:rFonts w:hint="eastAsia" w:ascii="宋体" w:hAnsi="宋体"/>
                <w:szCs w:val="21"/>
              </w:rPr>
              <w:t>检定/校准证书；</w:t>
            </w:r>
          </w:p>
          <w:p>
            <w:pPr>
              <w:rPr>
                <w:rFonts w:ascii="宋体" w:hAnsi="宋体"/>
                <w:szCs w:val="21"/>
              </w:rPr>
            </w:pPr>
            <w:r>
              <w:rPr>
                <w:rFonts w:hint="eastAsia" w:ascii="宋体" w:hAnsi="宋体"/>
                <w:szCs w:val="21"/>
              </w:rPr>
              <w:t>校验设备档案；</w:t>
            </w:r>
          </w:p>
          <w:p>
            <w:pPr>
              <w:rPr>
                <w:rFonts w:ascii="宋体" w:hAnsi="宋体"/>
                <w:szCs w:val="21"/>
              </w:rPr>
            </w:pPr>
            <w:r>
              <w:rPr>
                <w:rFonts w:hint="eastAsia" w:ascii="宋体" w:hAnsi="宋体"/>
                <w:szCs w:val="21"/>
              </w:rPr>
              <w:t>使用记录等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9.1设施和环境条件控制的建立</w:t>
            </w:r>
          </w:p>
        </w:tc>
        <w:tc>
          <w:tcPr>
            <w:tcW w:w="4361" w:type="dxa"/>
            <w:vAlign w:val="center"/>
          </w:tcPr>
          <w:p>
            <w:pPr>
              <w:rPr>
                <w:rFonts w:ascii="宋体" w:hAnsi="宋体"/>
                <w:szCs w:val="21"/>
              </w:rPr>
            </w:pPr>
            <w:r>
              <w:rPr>
                <w:rFonts w:hint="eastAsia" w:ascii="宋体" w:hAnsi="宋体"/>
                <w:szCs w:val="21"/>
              </w:rPr>
              <w:t>设施和环境条件控制通常包括影响校验结果的设施和环境条件识别、设施的配置、监督与监测、异常处置等</w:t>
            </w:r>
          </w:p>
        </w:tc>
        <w:tc>
          <w:tcPr>
            <w:tcW w:w="2976" w:type="dxa"/>
            <w:vAlign w:val="center"/>
          </w:tcPr>
          <w:p>
            <w:pPr>
              <w:rPr>
                <w:rFonts w:ascii="宋体" w:hAnsi="宋体"/>
                <w:szCs w:val="21"/>
              </w:rPr>
            </w:pPr>
            <w:r>
              <w:rPr>
                <w:rFonts w:hint="eastAsia" w:ascii="宋体" w:hAnsi="宋体"/>
                <w:szCs w:val="21"/>
              </w:rPr>
              <w:t>经正式颁布实施的设施和环境条件控制文件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9.2设施和环境条件控制的实施</w:t>
            </w:r>
          </w:p>
        </w:tc>
        <w:tc>
          <w:tcPr>
            <w:tcW w:w="4361" w:type="dxa"/>
            <w:vAlign w:val="center"/>
          </w:tcPr>
          <w:p>
            <w:pPr>
              <w:rPr>
                <w:rFonts w:ascii="宋体" w:hAnsi="宋体"/>
                <w:szCs w:val="21"/>
              </w:rPr>
            </w:pPr>
            <w:r>
              <w:rPr>
                <w:rFonts w:hint="eastAsia" w:ascii="宋体" w:hAnsi="宋体"/>
                <w:szCs w:val="21"/>
              </w:rPr>
              <w:t>查阅设施和环境条件控制各控制点的见证材料</w:t>
            </w:r>
          </w:p>
        </w:tc>
        <w:tc>
          <w:tcPr>
            <w:tcW w:w="2976" w:type="dxa"/>
            <w:vAlign w:val="center"/>
          </w:tcPr>
          <w:p>
            <w:pPr>
              <w:rPr>
                <w:rFonts w:ascii="宋体" w:hAnsi="宋体"/>
                <w:szCs w:val="21"/>
              </w:rPr>
            </w:pPr>
            <w:r>
              <w:rPr>
                <w:rFonts w:hint="eastAsia" w:ascii="宋体" w:hAnsi="宋体"/>
                <w:szCs w:val="21"/>
              </w:rPr>
              <w:t>工程项目设施和环境条件的监督与监测记录；</w:t>
            </w:r>
          </w:p>
          <w:p>
            <w:pPr>
              <w:rPr>
                <w:rFonts w:ascii="宋体" w:hAnsi="宋体"/>
                <w:szCs w:val="21"/>
              </w:rPr>
            </w:pPr>
            <w:r>
              <w:rPr>
                <w:rFonts w:hint="eastAsia" w:ascii="宋体" w:hAnsi="宋体"/>
                <w:szCs w:val="21"/>
              </w:rPr>
              <w:t>异常处置记录等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10.1合同控制程序的建立</w:t>
            </w:r>
          </w:p>
        </w:tc>
        <w:tc>
          <w:tcPr>
            <w:tcW w:w="4361" w:type="dxa"/>
            <w:vAlign w:val="center"/>
          </w:tcPr>
          <w:p>
            <w:pPr>
              <w:rPr>
                <w:rFonts w:ascii="宋体" w:hAnsi="宋体"/>
                <w:szCs w:val="21"/>
              </w:rPr>
            </w:pPr>
            <w:r>
              <w:rPr>
                <w:rFonts w:hint="eastAsia" w:ascii="宋体" w:hAnsi="宋体"/>
                <w:szCs w:val="21"/>
              </w:rPr>
              <w:t>合同控制程序通常包括合同条件（明确客户要求、自身校验能力、校验条件及要求）、合同评审（评审方式、评审权限、评审内容）、合同偏离等控制点</w:t>
            </w:r>
          </w:p>
        </w:tc>
        <w:tc>
          <w:tcPr>
            <w:tcW w:w="2976" w:type="dxa"/>
            <w:vAlign w:val="center"/>
          </w:tcPr>
          <w:p>
            <w:pPr>
              <w:rPr>
                <w:rFonts w:ascii="宋体" w:hAnsi="宋体"/>
                <w:szCs w:val="21"/>
              </w:rPr>
            </w:pPr>
            <w:r>
              <w:rPr>
                <w:rFonts w:hint="eastAsia" w:ascii="宋体" w:hAnsi="宋体"/>
                <w:szCs w:val="21"/>
              </w:rPr>
              <w:t>经正式颁布实施的合同控制程序文件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10.2合同控制程序的实施</w:t>
            </w:r>
          </w:p>
        </w:tc>
        <w:tc>
          <w:tcPr>
            <w:tcW w:w="4361" w:type="dxa"/>
            <w:vAlign w:val="center"/>
          </w:tcPr>
          <w:p>
            <w:pPr>
              <w:rPr>
                <w:rFonts w:ascii="宋体" w:hAnsi="宋体"/>
                <w:szCs w:val="21"/>
              </w:rPr>
            </w:pPr>
            <w:r>
              <w:rPr>
                <w:rFonts w:hint="eastAsia" w:ascii="宋体" w:hAnsi="宋体"/>
                <w:szCs w:val="21"/>
              </w:rPr>
              <w:t>查阅合同控制程序各控制点的见证材料</w:t>
            </w:r>
          </w:p>
        </w:tc>
        <w:tc>
          <w:tcPr>
            <w:tcW w:w="2976" w:type="dxa"/>
            <w:vAlign w:val="center"/>
          </w:tcPr>
          <w:p>
            <w:pPr>
              <w:rPr>
                <w:rFonts w:ascii="宋体" w:hAnsi="宋体"/>
                <w:szCs w:val="21"/>
              </w:rPr>
            </w:pPr>
            <w:r>
              <w:rPr>
                <w:rFonts w:hint="eastAsia" w:ascii="宋体" w:hAnsi="宋体"/>
                <w:szCs w:val="21"/>
              </w:rPr>
              <w:t>合同台账；</w:t>
            </w:r>
          </w:p>
          <w:p>
            <w:pPr>
              <w:rPr>
                <w:rFonts w:ascii="宋体" w:hAnsi="宋体"/>
                <w:szCs w:val="21"/>
              </w:rPr>
            </w:pPr>
            <w:r>
              <w:rPr>
                <w:rFonts w:hint="eastAsia" w:ascii="宋体" w:hAnsi="宋体"/>
                <w:szCs w:val="21"/>
              </w:rPr>
              <w:t>合同评审记录；</w:t>
            </w:r>
          </w:p>
          <w:p>
            <w:pPr>
              <w:rPr>
                <w:rFonts w:ascii="宋体" w:hAnsi="宋体"/>
                <w:szCs w:val="21"/>
              </w:rPr>
            </w:pPr>
            <w:r>
              <w:rPr>
                <w:rFonts w:hint="eastAsia" w:ascii="宋体" w:hAnsi="宋体"/>
                <w:szCs w:val="21"/>
              </w:rPr>
              <w:t>合同偏离沟通与审批记录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11.1工作指令控制程序的建立</w:t>
            </w:r>
          </w:p>
        </w:tc>
        <w:tc>
          <w:tcPr>
            <w:tcW w:w="4361" w:type="dxa"/>
            <w:vAlign w:val="center"/>
          </w:tcPr>
          <w:p>
            <w:pPr>
              <w:rPr>
                <w:rFonts w:ascii="宋体" w:hAnsi="宋体"/>
                <w:szCs w:val="21"/>
              </w:rPr>
            </w:pPr>
            <w:r>
              <w:rPr>
                <w:rFonts w:hint="eastAsia" w:ascii="宋体" w:hAnsi="宋体"/>
                <w:szCs w:val="21"/>
              </w:rPr>
              <w:t>工作指令控制程序通常包括工作任务来源、人员与设备配置、校验方法与标准要求、工作任务完成要求等控制点</w:t>
            </w:r>
          </w:p>
        </w:tc>
        <w:tc>
          <w:tcPr>
            <w:tcW w:w="2976" w:type="dxa"/>
            <w:vAlign w:val="center"/>
          </w:tcPr>
          <w:p>
            <w:pPr>
              <w:rPr>
                <w:rFonts w:ascii="宋体" w:hAnsi="宋体"/>
                <w:szCs w:val="21"/>
              </w:rPr>
            </w:pPr>
            <w:r>
              <w:rPr>
                <w:rFonts w:hint="eastAsia" w:ascii="宋体" w:hAnsi="宋体"/>
                <w:szCs w:val="21"/>
              </w:rPr>
              <w:t>经正式颁布实施的工作指令控制程序文件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11.2工作指令控制程序的实施</w:t>
            </w:r>
          </w:p>
        </w:tc>
        <w:tc>
          <w:tcPr>
            <w:tcW w:w="4361" w:type="dxa"/>
            <w:vAlign w:val="center"/>
          </w:tcPr>
          <w:p>
            <w:pPr>
              <w:rPr>
                <w:rFonts w:ascii="宋体" w:hAnsi="宋体"/>
                <w:szCs w:val="21"/>
              </w:rPr>
            </w:pPr>
            <w:r>
              <w:rPr>
                <w:rFonts w:hint="eastAsia" w:ascii="宋体" w:hAnsi="宋体"/>
                <w:szCs w:val="21"/>
              </w:rPr>
              <w:t>抽查工程项目的技术资料，查阅工程合同与工作指令单等见证材料</w:t>
            </w:r>
          </w:p>
        </w:tc>
        <w:tc>
          <w:tcPr>
            <w:tcW w:w="2976" w:type="dxa"/>
            <w:vAlign w:val="center"/>
          </w:tcPr>
          <w:p>
            <w:pPr>
              <w:rPr>
                <w:rFonts w:ascii="宋体" w:hAnsi="宋体"/>
                <w:szCs w:val="21"/>
              </w:rPr>
            </w:pPr>
            <w:r>
              <w:rPr>
                <w:rFonts w:hint="eastAsia" w:ascii="宋体" w:hAnsi="宋体"/>
                <w:szCs w:val="21"/>
              </w:rPr>
              <w:t>工作指令单；</w:t>
            </w:r>
          </w:p>
          <w:p>
            <w:pPr>
              <w:rPr>
                <w:rFonts w:ascii="宋体" w:hAnsi="宋体"/>
                <w:szCs w:val="21"/>
              </w:rPr>
            </w:pPr>
            <w:r>
              <w:rPr>
                <w:rFonts w:hint="eastAsia" w:ascii="宋体" w:hAnsi="宋体"/>
                <w:szCs w:val="21"/>
              </w:rPr>
              <w:t>工程技术资料（校验记录与报告）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12.1校验过程控制程序的建立</w:t>
            </w:r>
          </w:p>
        </w:tc>
        <w:tc>
          <w:tcPr>
            <w:tcW w:w="4361" w:type="dxa"/>
            <w:vAlign w:val="center"/>
          </w:tcPr>
          <w:p>
            <w:pPr>
              <w:rPr>
                <w:rFonts w:ascii="宋体" w:hAnsi="宋体"/>
                <w:szCs w:val="21"/>
              </w:rPr>
            </w:pPr>
            <w:r>
              <w:rPr>
                <w:rFonts w:hint="eastAsia" w:ascii="宋体" w:hAnsi="宋体"/>
                <w:szCs w:val="21"/>
              </w:rPr>
              <w:t>校验过程控制程序通常包括校验人员资格、校验作业文件、校验信息采集、校验过程监督、项目及项目部管理要求等控制点</w:t>
            </w:r>
          </w:p>
        </w:tc>
        <w:tc>
          <w:tcPr>
            <w:tcW w:w="2976" w:type="dxa"/>
            <w:vAlign w:val="center"/>
          </w:tcPr>
          <w:p>
            <w:pPr>
              <w:rPr>
                <w:rFonts w:ascii="宋体" w:hAnsi="宋体"/>
                <w:szCs w:val="21"/>
              </w:rPr>
            </w:pPr>
            <w:r>
              <w:rPr>
                <w:rFonts w:hint="eastAsia" w:ascii="宋体" w:hAnsi="宋体"/>
                <w:szCs w:val="21"/>
              </w:rPr>
              <w:t>经正式颁布实施的校验过程控制程序文件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12.2校验过程控制程序的实施</w:t>
            </w:r>
          </w:p>
        </w:tc>
        <w:tc>
          <w:tcPr>
            <w:tcW w:w="4361" w:type="dxa"/>
            <w:vAlign w:val="center"/>
          </w:tcPr>
          <w:p>
            <w:pPr>
              <w:rPr>
                <w:rFonts w:ascii="宋体" w:hAnsi="宋体"/>
                <w:szCs w:val="21"/>
              </w:rPr>
            </w:pPr>
            <w:r>
              <w:rPr>
                <w:rFonts w:hint="eastAsia" w:ascii="宋体" w:hAnsi="宋体"/>
                <w:szCs w:val="21"/>
              </w:rPr>
              <w:t>抽查工程项目的技术资料，查阅校验过程各控制点的见证材料</w:t>
            </w:r>
          </w:p>
        </w:tc>
        <w:tc>
          <w:tcPr>
            <w:tcW w:w="2976" w:type="dxa"/>
            <w:vAlign w:val="center"/>
          </w:tcPr>
          <w:p>
            <w:pPr>
              <w:rPr>
                <w:rFonts w:ascii="宋体" w:hAnsi="宋体"/>
                <w:szCs w:val="21"/>
              </w:rPr>
            </w:pPr>
            <w:r>
              <w:rPr>
                <w:rFonts w:hint="eastAsia" w:ascii="宋体" w:hAnsi="宋体"/>
                <w:szCs w:val="21"/>
              </w:rPr>
              <w:t>校验过程监督记录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13.1校验方法控制程序的建立</w:t>
            </w:r>
          </w:p>
        </w:tc>
        <w:tc>
          <w:tcPr>
            <w:tcW w:w="4361" w:type="dxa"/>
            <w:vAlign w:val="center"/>
          </w:tcPr>
          <w:p>
            <w:pPr>
              <w:rPr>
                <w:rFonts w:ascii="宋体" w:hAnsi="宋体"/>
                <w:szCs w:val="21"/>
              </w:rPr>
            </w:pPr>
            <w:r>
              <w:rPr>
                <w:rFonts w:hint="eastAsia" w:ascii="宋体" w:hAnsi="宋体"/>
                <w:szCs w:val="21"/>
              </w:rPr>
              <w:t>校验方法控制程序通常包括校验方法的选择与应用、非标方法的技术评审与应用、校验方校验方法偏离审批等控制点</w:t>
            </w:r>
          </w:p>
        </w:tc>
        <w:tc>
          <w:tcPr>
            <w:tcW w:w="2976" w:type="dxa"/>
            <w:vAlign w:val="center"/>
          </w:tcPr>
          <w:p>
            <w:pPr>
              <w:rPr>
                <w:rFonts w:ascii="宋体" w:hAnsi="宋体"/>
                <w:szCs w:val="21"/>
              </w:rPr>
            </w:pPr>
            <w:r>
              <w:rPr>
                <w:rFonts w:hint="eastAsia" w:ascii="宋体" w:hAnsi="宋体"/>
                <w:szCs w:val="21"/>
              </w:rPr>
              <w:t>经正式颁布实施的校验方法控制程序文件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13.2校验方法控制程序的实施</w:t>
            </w:r>
          </w:p>
        </w:tc>
        <w:tc>
          <w:tcPr>
            <w:tcW w:w="4361" w:type="dxa"/>
            <w:vAlign w:val="center"/>
          </w:tcPr>
          <w:p>
            <w:pPr>
              <w:rPr>
                <w:rFonts w:ascii="宋体" w:hAnsi="宋体"/>
                <w:szCs w:val="21"/>
              </w:rPr>
            </w:pPr>
            <w:r>
              <w:rPr>
                <w:rFonts w:hint="eastAsia" w:ascii="宋体" w:hAnsi="宋体"/>
                <w:szCs w:val="21"/>
              </w:rPr>
              <w:t>抽查工程项目的技术资料，查阅并询问非标方法应用的控制和校验方法偏离控制的见证材料</w:t>
            </w:r>
          </w:p>
        </w:tc>
        <w:tc>
          <w:tcPr>
            <w:tcW w:w="2976" w:type="dxa"/>
            <w:vAlign w:val="center"/>
          </w:tcPr>
          <w:p>
            <w:pPr>
              <w:rPr>
                <w:rFonts w:ascii="宋体" w:hAnsi="宋体"/>
                <w:szCs w:val="21"/>
              </w:rPr>
            </w:pPr>
            <w:r>
              <w:rPr>
                <w:rFonts w:hint="eastAsia" w:ascii="宋体" w:hAnsi="宋体"/>
                <w:szCs w:val="21"/>
              </w:rPr>
              <w:t>非标方法技术评审与使用审批资料；</w:t>
            </w:r>
          </w:p>
          <w:p>
            <w:pPr>
              <w:rPr>
                <w:rFonts w:ascii="宋体" w:hAnsi="宋体"/>
                <w:szCs w:val="21"/>
              </w:rPr>
            </w:pPr>
            <w:r>
              <w:rPr>
                <w:rFonts w:hint="eastAsia" w:ascii="宋体" w:hAnsi="宋体"/>
                <w:szCs w:val="21"/>
              </w:rPr>
              <w:t>校验方法偏离审批见证材料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14.1服务和供应品控制程序的建立</w:t>
            </w:r>
          </w:p>
        </w:tc>
        <w:tc>
          <w:tcPr>
            <w:tcW w:w="4361" w:type="dxa"/>
            <w:vAlign w:val="center"/>
          </w:tcPr>
          <w:p>
            <w:pPr>
              <w:rPr>
                <w:rFonts w:ascii="宋体" w:hAnsi="宋体"/>
                <w:szCs w:val="21"/>
              </w:rPr>
            </w:pPr>
            <w:r>
              <w:rPr>
                <w:rFonts w:hint="eastAsia" w:ascii="宋体" w:hAnsi="宋体"/>
                <w:szCs w:val="21"/>
              </w:rPr>
              <w:t>服务与供应品控制程序通常包括供应方和服务方评价、供应和服务方档案、采购技术要求评审、验收、供应品储存等控制点</w:t>
            </w:r>
          </w:p>
        </w:tc>
        <w:tc>
          <w:tcPr>
            <w:tcW w:w="2976" w:type="dxa"/>
            <w:vAlign w:val="center"/>
          </w:tcPr>
          <w:p>
            <w:pPr>
              <w:rPr>
                <w:rFonts w:ascii="宋体" w:hAnsi="宋体"/>
                <w:szCs w:val="21"/>
              </w:rPr>
            </w:pPr>
            <w:r>
              <w:rPr>
                <w:rFonts w:hint="eastAsia" w:ascii="宋体" w:hAnsi="宋体"/>
                <w:szCs w:val="21"/>
              </w:rPr>
              <w:t>经正式颁布实施的服务和供应品控制程序文件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14.2服务和供应品控制程序的实施</w:t>
            </w:r>
          </w:p>
        </w:tc>
        <w:tc>
          <w:tcPr>
            <w:tcW w:w="4361" w:type="dxa"/>
            <w:vAlign w:val="center"/>
          </w:tcPr>
          <w:p>
            <w:pPr>
              <w:rPr>
                <w:rFonts w:ascii="宋体" w:hAnsi="宋体"/>
                <w:szCs w:val="21"/>
              </w:rPr>
            </w:pPr>
            <w:r>
              <w:rPr>
                <w:rFonts w:hint="eastAsia" w:ascii="宋体" w:hAnsi="宋体"/>
                <w:szCs w:val="21"/>
              </w:rPr>
              <w:t>查阅合格供应和服务方清单与档案、合格供应和服务方评价资料、采购计划、供应品验收记录等</w:t>
            </w:r>
          </w:p>
        </w:tc>
        <w:tc>
          <w:tcPr>
            <w:tcW w:w="2976" w:type="dxa"/>
            <w:vAlign w:val="center"/>
          </w:tcPr>
          <w:p>
            <w:pPr>
              <w:rPr>
                <w:rFonts w:ascii="宋体" w:hAnsi="宋体"/>
                <w:szCs w:val="21"/>
              </w:rPr>
            </w:pPr>
            <w:r>
              <w:rPr>
                <w:rFonts w:hint="eastAsia" w:ascii="宋体" w:hAnsi="宋体"/>
                <w:szCs w:val="21"/>
              </w:rPr>
              <w:t>合格供应（服务）方清单与档案；</w:t>
            </w:r>
          </w:p>
          <w:p>
            <w:pPr>
              <w:rPr>
                <w:rFonts w:ascii="宋体" w:hAnsi="宋体"/>
                <w:szCs w:val="21"/>
              </w:rPr>
            </w:pPr>
            <w:r>
              <w:rPr>
                <w:rFonts w:hint="eastAsia" w:ascii="宋体" w:hAnsi="宋体"/>
                <w:szCs w:val="21"/>
              </w:rPr>
              <w:t>合格供应（服务）方评价资料；</w:t>
            </w:r>
          </w:p>
          <w:p>
            <w:pPr>
              <w:rPr>
                <w:rFonts w:ascii="宋体" w:hAnsi="宋体"/>
                <w:szCs w:val="21"/>
              </w:rPr>
            </w:pPr>
            <w:r>
              <w:rPr>
                <w:rFonts w:hint="eastAsia" w:ascii="宋体" w:hAnsi="宋体"/>
                <w:szCs w:val="21"/>
              </w:rPr>
              <w:t>采购计划；</w:t>
            </w:r>
          </w:p>
          <w:p>
            <w:pPr>
              <w:rPr>
                <w:rFonts w:ascii="宋体" w:hAnsi="宋体"/>
                <w:szCs w:val="21"/>
              </w:rPr>
            </w:pPr>
            <w:r>
              <w:rPr>
                <w:rFonts w:hint="eastAsia" w:ascii="宋体" w:hAnsi="宋体"/>
                <w:szCs w:val="21"/>
              </w:rPr>
              <w:t>供应品验收记录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15.样品控制程序的建立</w:t>
            </w:r>
          </w:p>
        </w:tc>
        <w:tc>
          <w:tcPr>
            <w:tcW w:w="4361" w:type="dxa"/>
            <w:vAlign w:val="center"/>
          </w:tcPr>
          <w:p>
            <w:pPr>
              <w:rPr>
                <w:rFonts w:ascii="宋体" w:hAnsi="宋体"/>
                <w:szCs w:val="21"/>
              </w:rPr>
            </w:pPr>
            <w:r>
              <w:rPr>
                <w:rFonts w:hint="eastAsia" w:ascii="宋体" w:hAnsi="宋体"/>
                <w:szCs w:val="21"/>
              </w:rPr>
              <w:t>样品控制程序通常包括样品保护、交接、标识、储存、留样和（或）清理等控制点</w:t>
            </w:r>
          </w:p>
        </w:tc>
        <w:tc>
          <w:tcPr>
            <w:tcW w:w="2976" w:type="dxa"/>
            <w:vAlign w:val="center"/>
          </w:tcPr>
          <w:p>
            <w:pPr>
              <w:rPr>
                <w:rFonts w:ascii="宋体" w:hAnsi="宋体"/>
                <w:szCs w:val="21"/>
              </w:rPr>
            </w:pPr>
            <w:r>
              <w:rPr>
                <w:rFonts w:hint="eastAsia" w:ascii="宋体" w:hAnsi="宋体"/>
                <w:szCs w:val="21"/>
              </w:rPr>
              <w:t>经正式颁布实施的抽样和样品控制程序文件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15.2样品控制程序的实施</w:t>
            </w:r>
          </w:p>
        </w:tc>
        <w:tc>
          <w:tcPr>
            <w:tcW w:w="4361" w:type="dxa"/>
            <w:vAlign w:val="center"/>
          </w:tcPr>
          <w:p>
            <w:pPr>
              <w:rPr>
                <w:rFonts w:ascii="宋体" w:hAnsi="宋体"/>
                <w:szCs w:val="21"/>
              </w:rPr>
            </w:pPr>
            <w:r>
              <w:rPr>
                <w:rFonts w:hint="eastAsia" w:ascii="宋体" w:hAnsi="宋体"/>
                <w:szCs w:val="21"/>
              </w:rPr>
              <w:t>查阅样品台账、样品交接记录、样品处置记录；</w:t>
            </w:r>
          </w:p>
          <w:p>
            <w:pPr>
              <w:rPr>
                <w:rFonts w:ascii="宋体" w:hAnsi="宋体"/>
                <w:szCs w:val="21"/>
              </w:rPr>
            </w:pPr>
            <w:r>
              <w:rPr>
                <w:rFonts w:hint="eastAsia" w:ascii="宋体" w:hAnsi="宋体"/>
                <w:szCs w:val="21"/>
              </w:rPr>
              <w:t>现场查样品的标识、保护、储存、处置等执行情况</w:t>
            </w:r>
          </w:p>
        </w:tc>
        <w:tc>
          <w:tcPr>
            <w:tcW w:w="2976" w:type="dxa"/>
            <w:vAlign w:val="center"/>
          </w:tcPr>
          <w:p>
            <w:pPr>
              <w:rPr>
                <w:rFonts w:ascii="宋体" w:hAnsi="宋体"/>
                <w:szCs w:val="21"/>
              </w:rPr>
            </w:pPr>
            <w:r>
              <w:rPr>
                <w:rFonts w:hint="eastAsia" w:ascii="宋体" w:hAnsi="宋体"/>
                <w:szCs w:val="21"/>
              </w:rPr>
              <w:t>样品台账；</w:t>
            </w:r>
          </w:p>
          <w:p>
            <w:pPr>
              <w:rPr>
                <w:rFonts w:ascii="宋体" w:hAnsi="宋体"/>
                <w:szCs w:val="21"/>
              </w:rPr>
            </w:pPr>
            <w:r>
              <w:rPr>
                <w:rFonts w:hint="eastAsia" w:ascii="宋体" w:hAnsi="宋体"/>
                <w:szCs w:val="21"/>
              </w:rPr>
              <w:t>样品交接记录；</w:t>
            </w:r>
          </w:p>
          <w:p>
            <w:pPr>
              <w:rPr>
                <w:rFonts w:ascii="宋体" w:hAnsi="宋体"/>
                <w:szCs w:val="21"/>
              </w:rPr>
            </w:pPr>
            <w:r>
              <w:rPr>
                <w:rFonts w:hint="eastAsia" w:ascii="宋体" w:hAnsi="宋体"/>
                <w:szCs w:val="21"/>
              </w:rPr>
              <w:t>样品处置记录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16.1校验工作安全控制程序的建立</w:t>
            </w:r>
          </w:p>
        </w:tc>
        <w:tc>
          <w:tcPr>
            <w:tcW w:w="4361" w:type="dxa"/>
            <w:vAlign w:val="center"/>
          </w:tcPr>
          <w:p>
            <w:pPr>
              <w:rPr>
                <w:rFonts w:ascii="宋体" w:hAnsi="宋体"/>
                <w:szCs w:val="21"/>
              </w:rPr>
            </w:pPr>
            <w:r>
              <w:rPr>
                <w:rFonts w:hint="eastAsia" w:ascii="宋体" w:hAnsi="宋体"/>
                <w:szCs w:val="21"/>
              </w:rPr>
              <w:t>校验工作安全控制程序至少包括校验环境危险源及潜在风险的辨识、风险评价、风险控制以及安全控制措施、安全应急措施、应急演练、安全培训等控制要点</w:t>
            </w:r>
          </w:p>
        </w:tc>
        <w:tc>
          <w:tcPr>
            <w:tcW w:w="2976" w:type="dxa"/>
            <w:vAlign w:val="center"/>
          </w:tcPr>
          <w:p>
            <w:pPr>
              <w:rPr>
                <w:rFonts w:ascii="宋体" w:hAnsi="宋体"/>
                <w:szCs w:val="21"/>
              </w:rPr>
            </w:pPr>
            <w:r>
              <w:rPr>
                <w:rFonts w:hint="eastAsia" w:ascii="宋体" w:hAnsi="宋体"/>
                <w:szCs w:val="21"/>
              </w:rPr>
              <w:t>经正式颁布实施的校验工作安全控制程序文件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16.2校验工作安全控制程序的实施</w:t>
            </w:r>
          </w:p>
        </w:tc>
        <w:tc>
          <w:tcPr>
            <w:tcW w:w="4361" w:type="dxa"/>
            <w:vAlign w:val="center"/>
          </w:tcPr>
          <w:p>
            <w:pPr>
              <w:rPr>
                <w:rFonts w:ascii="宋体" w:hAnsi="宋体"/>
                <w:szCs w:val="21"/>
              </w:rPr>
            </w:pPr>
            <w:r>
              <w:rPr>
                <w:rFonts w:hint="eastAsia" w:ascii="宋体" w:hAnsi="宋体"/>
                <w:szCs w:val="21"/>
              </w:rPr>
              <w:t>查阅校验工作安全控制程序各控制点的见证材料</w:t>
            </w:r>
          </w:p>
        </w:tc>
        <w:tc>
          <w:tcPr>
            <w:tcW w:w="2976" w:type="dxa"/>
            <w:vAlign w:val="center"/>
          </w:tcPr>
          <w:p>
            <w:pPr>
              <w:rPr>
                <w:rFonts w:ascii="宋体" w:hAnsi="宋体"/>
                <w:szCs w:val="21"/>
              </w:rPr>
            </w:pPr>
            <w:r>
              <w:rPr>
                <w:rFonts w:hint="eastAsia" w:ascii="宋体" w:hAnsi="宋体"/>
                <w:szCs w:val="21"/>
              </w:rPr>
              <w:t>校验环境危险源及潜在风险的辨识与风险评价表；</w:t>
            </w:r>
          </w:p>
          <w:p>
            <w:pPr>
              <w:rPr>
                <w:rFonts w:ascii="宋体" w:hAnsi="宋体"/>
                <w:szCs w:val="21"/>
              </w:rPr>
            </w:pPr>
            <w:r>
              <w:rPr>
                <w:rFonts w:hint="eastAsia" w:ascii="宋体" w:hAnsi="宋体"/>
                <w:szCs w:val="21"/>
              </w:rPr>
              <w:t>应急预案；</w:t>
            </w:r>
          </w:p>
          <w:p>
            <w:pPr>
              <w:rPr>
                <w:rFonts w:ascii="宋体" w:hAnsi="宋体"/>
                <w:szCs w:val="21"/>
              </w:rPr>
            </w:pPr>
            <w:r>
              <w:rPr>
                <w:rFonts w:hint="eastAsia" w:ascii="宋体" w:hAnsi="宋体"/>
                <w:szCs w:val="21"/>
              </w:rPr>
              <w:t>应急演练记录；</w:t>
            </w:r>
          </w:p>
          <w:p>
            <w:pPr>
              <w:rPr>
                <w:rFonts w:ascii="宋体" w:hAnsi="宋体"/>
                <w:szCs w:val="21"/>
              </w:rPr>
            </w:pPr>
            <w:r>
              <w:rPr>
                <w:rFonts w:hint="eastAsia" w:ascii="宋体" w:hAnsi="宋体"/>
                <w:szCs w:val="21"/>
              </w:rPr>
              <w:t>校验工程项目安全培训记录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17.1校验报告控制程序的建立</w:t>
            </w:r>
          </w:p>
        </w:tc>
        <w:tc>
          <w:tcPr>
            <w:tcW w:w="4361" w:type="dxa"/>
            <w:vAlign w:val="center"/>
          </w:tcPr>
          <w:p>
            <w:pPr>
              <w:rPr>
                <w:rFonts w:ascii="宋体" w:hAnsi="宋体"/>
                <w:szCs w:val="21"/>
              </w:rPr>
            </w:pPr>
            <w:r>
              <w:rPr>
                <w:rFonts w:hint="eastAsia" w:ascii="宋体" w:hAnsi="宋体"/>
                <w:szCs w:val="21"/>
              </w:rPr>
              <w:t>校验报告控制程序通常包括校验报告格式、内容信息、填写、审批、保存、保存期限与处置、标识、更正、用章及印章管理等控制点</w:t>
            </w:r>
          </w:p>
        </w:tc>
        <w:tc>
          <w:tcPr>
            <w:tcW w:w="2976" w:type="dxa"/>
            <w:vAlign w:val="center"/>
          </w:tcPr>
          <w:p>
            <w:pPr>
              <w:rPr>
                <w:rFonts w:ascii="宋体" w:hAnsi="宋体"/>
                <w:szCs w:val="21"/>
              </w:rPr>
            </w:pPr>
            <w:r>
              <w:rPr>
                <w:rFonts w:hint="eastAsia" w:ascii="宋体" w:hAnsi="宋体"/>
                <w:szCs w:val="21"/>
              </w:rPr>
              <w:t>经正式颁布实施的校验报告控制程序文件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17.2校验报告控制程序的实施</w:t>
            </w:r>
          </w:p>
        </w:tc>
        <w:tc>
          <w:tcPr>
            <w:tcW w:w="4361" w:type="dxa"/>
            <w:vAlign w:val="center"/>
          </w:tcPr>
          <w:p>
            <w:pPr>
              <w:rPr>
                <w:rFonts w:ascii="宋体" w:hAnsi="宋体"/>
                <w:szCs w:val="21"/>
              </w:rPr>
            </w:pPr>
            <w:r>
              <w:rPr>
                <w:rFonts w:hint="eastAsia" w:ascii="宋体" w:hAnsi="宋体"/>
                <w:szCs w:val="21"/>
              </w:rPr>
              <w:t>抽查校验报告，查阅校验报告管理控制的见证材料，现场查看校验报告保存条件</w:t>
            </w:r>
          </w:p>
        </w:tc>
        <w:tc>
          <w:tcPr>
            <w:tcW w:w="2976" w:type="dxa"/>
            <w:vAlign w:val="center"/>
          </w:tcPr>
          <w:p>
            <w:pPr>
              <w:rPr>
                <w:rFonts w:ascii="宋体" w:hAnsi="宋体"/>
                <w:szCs w:val="21"/>
              </w:rPr>
            </w:pPr>
            <w:r>
              <w:rPr>
                <w:rFonts w:hint="eastAsia" w:ascii="宋体" w:hAnsi="宋体"/>
                <w:szCs w:val="21"/>
              </w:rPr>
              <w:t>校验报告台账；</w:t>
            </w:r>
          </w:p>
          <w:p>
            <w:pPr>
              <w:rPr>
                <w:rFonts w:ascii="宋体" w:hAnsi="宋体"/>
                <w:szCs w:val="21"/>
              </w:rPr>
            </w:pPr>
            <w:r>
              <w:rPr>
                <w:rFonts w:hint="eastAsia" w:ascii="宋体" w:hAnsi="宋体"/>
                <w:szCs w:val="21"/>
              </w:rPr>
              <w:t>校验报告的借阅、销毁记录；</w:t>
            </w:r>
          </w:p>
          <w:p>
            <w:pPr>
              <w:rPr>
                <w:rFonts w:ascii="宋体" w:hAnsi="宋体"/>
                <w:szCs w:val="21"/>
              </w:rPr>
            </w:pPr>
            <w:r>
              <w:rPr>
                <w:rFonts w:hint="eastAsia" w:ascii="宋体" w:hAnsi="宋体"/>
                <w:szCs w:val="21"/>
              </w:rPr>
              <w:t>不符合报告的处置记录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18.1校验质量监督控制程序的建立</w:t>
            </w:r>
          </w:p>
        </w:tc>
        <w:tc>
          <w:tcPr>
            <w:tcW w:w="4361" w:type="dxa"/>
            <w:vAlign w:val="center"/>
          </w:tcPr>
          <w:p>
            <w:pPr>
              <w:rPr>
                <w:rFonts w:ascii="宋体" w:hAnsi="宋体"/>
                <w:szCs w:val="21"/>
              </w:rPr>
            </w:pPr>
            <w:r>
              <w:rPr>
                <w:rFonts w:hint="eastAsia" w:ascii="宋体" w:hAnsi="宋体"/>
                <w:szCs w:val="21"/>
              </w:rPr>
              <w:t>校验质量监督控制程序通常包括监督方式、监督程序与方法（人员考核、校验报告评价、重复校验、能力评价与验证）、监督计划、监督组织、监督结果处置等控制点</w:t>
            </w:r>
          </w:p>
        </w:tc>
        <w:tc>
          <w:tcPr>
            <w:tcW w:w="2976" w:type="dxa"/>
            <w:vAlign w:val="center"/>
          </w:tcPr>
          <w:p>
            <w:pPr>
              <w:rPr>
                <w:rFonts w:ascii="宋体" w:hAnsi="宋体"/>
                <w:szCs w:val="21"/>
              </w:rPr>
            </w:pPr>
            <w:r>
              <w:rPr>
                <w:rFonts w:hint="eastAsia" w:ascii="宋体" w:hAnsi="宋体"/>
                <w:szCs w:val="21"/>
              </w:rPr>
              <w:t>经正式颁布实施的校验质量监督控制程序文件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18.2校验质量监督控制程序的实施</w:t>
            </w:r>
          </w:p>
        </w:tc>
        <w:tc>
          <w:tcPr>
            <w:tcW w:w="4361" w:type="dxa"/>
            <w:vAlign w:val="center"/>
          </w:tcPr>
          <w:p>
            <w:pPr>
              <w:rPr>
                <w:rFonts w:ascii="宋体" w:hAnsi="宋体"/>
                <w:szCs w:val="21"/>
              </w:rPr>
            </w:pPr>
            <w:r>
              <w:rPr>
                <w:rFonts w:hint="eastAsia" w:ascii="宋体" w:hAnsi="宋体"/>
                <w:szCs w:val="21"/>
              </w:rPr>
              <w:t>查阅年度质量监督计划及组织实施情况</w:t>
            </w:r>
          </w:p>
        </w:tc>
        <w:tc>
          <w:tcPr>
            <w:tcW w:w="2976" w:type="dxa"/>
            <w:vAlign w:val="center"/>
          </w:tcPr>
          <w:p>
            <w:pPr>
              <w:rPr>
                <w:rFonts w:ascii="宋体" w:hAnsi="宋体"/>
                <w:szCs w:val="21"/>
              </w:rPr>
            </w:pPr>
            <w:r>
              <w:rPr>
                <w:rFonts w:hint="eastAsia" w:ascii="宋体" w:hAnsi="宋体"/>
                <w:szCs w:val="21"/>
              </w:rPr>
              <w:t>年度质量监督计划；</w:t>
            </w:r>
          </w:p>
          <w:p>
            <w:pPr>
              <w:rPr>
                <w:rFonts w:ascii="宋体" w:hAnsi="宋体"/>
                <w:szCs w:val="21"/>
              </w:rPr>
            </w:pPr>
            <w:r>
              <w:rPr>
                <w:rFonts w:hint="eastAsia" w:ascii="宋体" w:hAnsi="宋体"/>
                <w:szCs w:val="21"/>
              </w:rPr>
              <w:t>质量监督记录；</w:t>
            </w:r>
          </w:p>
          <w:p>
            <w:pPr>
              <w:rPr>
                <w:rFonts w:ascii="宋体" w:hAnsi="宋体"/>
                <w:szCs w:val="21"/>
              </w:rPr>
            </w:pPr>
            <w:r>
              <w:rPr>
                <w:rFonts w:hint="eastAsia" w:ascii="宋体" w:hAnsi="宋体"/>
                <w:szCs w:val="21"/>
              </w:rPr>
              <w:t>能力评价与验证相关见证材料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19.1内部审核控制程序的建立</w:t>
            </w:r>
          </w:p>
        </w:tc>
        <w:tc>
          <w:tcPr>
            <w:tcW w:w="4361" w:type="dxa"/>
            <w:vAlign w:val="center"/>
          </w:tcPr>
          <w:p>
            <w:pPr>
              <w:rPr>
                <w:rFonts w:ascii="宋体" w:hAnsi="宋体"/>
                <w:szCs w:val="21"/>
              </w:rPr>
            </w:pPr>
            <w:r>
              <w:rPr>
                <w:rFonts w:hint="eastAsia" w:ascii="宋体" w:hAnsi="宋体"/>
                <w:szCs w:val="21"/>
              </w:rPr>
              <w:t>内部审核控制程序通常包括内审策划、内审时机、内审计划、内审人员选择、内审组织、内审实施、内审记录、纠正及纠正措施、内审报告等控制点</w:t>
            </w:r>
          </w:p>
        </w:tc>
        <w:tc>
          <w:tcPr>
            <w:tcW w:w="2976" w:type="dxa"/>
            <w:vAlign w:val="center"/>
          </w:tcPr>
          <w:p>
            <w:pPr>
              <w:rPr>
                <w:rFonts w:ascii="宋体" w:hAnsi="宋体"/>
                <w:szCs w:val="21"/>
              </w:rPr>
            </w:pPr>
            <w:r>
              <w:rPr>
                <w:rFonts w:hint="eastAsia" w:ascii="宋体" w:hAnsi="宋体"/>
                <w:szCs w:val="21"/>
              </w:rPr>
              <w:t>经正式颁布实施的内部审核控制程序文件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19.2内部审核控制程序的实施</w:t>
            </w:r>
          </w:p>
        </w:tc>
        <w:tc>
          <w:tcPr>
            <w:tcW w:w="4361" w:type="dxa"/>
            <w:vAlign w:val="center"/>
          </w:tcPr>
          <w:p>
            <w:pPr>
              <w:rPr>
                <w:rFonts w:ascii="宋体" w:hAnsi="宋体"/>
                <w:szCs w:val="21"/>
              </w:rPr>
            </w:pPr>
            <w:r>
              <w:rPr>
                <w:rFonts w:hint="eastAsia" w:ascii="宋体" w:hAnsi="宋体"/>
                <w:szCs w:val="21"/>
              </w:rPr>
              <w:t>查阅年度内审见证资料，内审应覆盖所有部门和所有要素，内审见证材料应齐全、准确</w:t>
            </w:r>
          </w:p>
        </w:tc>
        <w:tc>
          <w:tcPr>
            <w:tcW w:w="2976" w:type="dxa"/>
            <w:vAlign w:val="center"/>
          </w:tcPr>
          <w:p>
            <w:pPr>
              <w:rPr>
                <w:rFonts w:ascii="宋体" w:hAnsi="宋体"/>
                <w:szCs w:val="21"/>
              </w:rPr>
            </w:pPr>
            <w:r>
              <w:rPr>
                <w:rFonts w:hint="eastAsia" w:ascii="宋体" w:hAnsi="宋体"/>
                <w:szCs w:val="21"/>
              </w:rPr>
              <w:t>年度内审计划；</w:t>
            </w:r>
          </w:p>
          <w:p>
            <w:pPr>
              <w:rPr>
                <w:rFonts w:ascii="宋体" w:hAnsi="宋体"/>
                <w:szCs w:val="21"/>
              </w:rPr>
            </w:pPr>
            <w:r>
              <w:rPr>
                <w:rFonts w:hint="eastAsia" w:ascii="宋体" w:hAnsi="宋体"/>
                <w:szCs w:val="21"/>
              </w:rPr>
              <w:t>会议签到表；</w:t>
            </w:r>
          </w:p>
          <w:p>
            <w:pPr>
              <w:rPr>
                <w:rFonts w:ascii="宋体" w:hAnsi="宋体"/>
                <w:szCs w:val="21"/>
              </w:rPr>
            </w:pPr>
            <w:r>
              <w:rPr>
                <w:rFonts w:hint="eastAsia" w:ascii="宋体" w:hAnsi="宋体"/>
                <w:szCs w:val="21"/>
              </w:rPr>
              <w:t>内审记录；</w:t>
            </w:r>
          </w:p>
          <w:p>
            <w:pPr>
              <w:rPr>
                <w:rFonts w:ascii="宋体" w:hAnsi="宋体"/>
                <w:szCs w:val="21"/>
              </w:rPr>
            </w:pPr>
            <w:r>
              <w:rPr>
                <w:rFonts w:hint="eastAsia" w:ascii="宋体" w:hAnsi="宋体"/>
                <w:szCs w:val="21"/>
              </w:rPr>
              <w:t>内审报告等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4" w:hRule="atLeast"/>
          <w:jc w:val="center"/>
        </w:trPr>
        <w:tc>
          <w:tcPr>
            <w:tcW w:w="1276" w:type="dxa"/>
            <w:vAlign w:val="center"/>
          </w:tcPr>
          <w:p>
            <w:pPr>
              <w:rPr>
                <w:rFonts w:ascii="宋体" w:hAnsi="宋体"/>
                <w:szCs w:val="21"/>
              </w:rPr>
            </w:pPr>
            <w:r>
              <w:rPr>
                <w:rFonts w:hint="eastAsia" w:ascii="宋体" w:hAnsi="宋体"/>
                <w:szCs w:val="21"/>
              </w:rPr>
              <w:t>20.1不符合控制程序的建立</w:t>
            </w:r>
          </w:p>
        </w:tc>
        <w:tc>
          <w:tcPr>
            <w:tcW w:w="4361" w:type="dxa"/>
            <w:vAlign w:val="center"/>
          </w:tcPr>
          <w:p>
            <w:pPr>
              <w:rPr>
                <w:rFonts w:ascii="宋体" w:hAnsi="宋体"/>
                <w:szCs w:val="21"/>
              </w:rPr>
            </w:pPr>
            <w:r>
              <w:rPr>
                <w:rFonts w:hint="eastAsia" w:ascii="宋体" w:hAnsi="宋体"/>
                <w:szCs w:val="21"/>
              </w:rPr>
              <w:t>不符合控制程序通常包括不符合严重评价、纠正及纠正确认、评价重复发生的可能性等控制点</w:t>
            </w:r>
          </w:p>
        </w:tc>
        <w:tc>
          <w:tcPr>
            <w:tcW w:w="2976" w:type="dxa"/>
            <w:vAlign w:val="center"/>
          </w:tcPr>
          <w:p>
            <w:pPr>
              <w:rPr>
                <w:rFonts w:ascii="宋体" w:hAnsi="宋体"/>
                <w:szCs w:val="21"/>
              </w:rPr>
            </w:pPr>
            <w:r>
              <w:rPr>
                <w:rFonts w:hint="eastAsia" w:ascii="宋体" w:hAnsi="宋体"/>
                <w:szCs w:val="21"/>
              </w:rPr>
              <w:t>经正式颁布实施的不符合控制程序文件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20.2不符合控制程序的实施</w:t>
            </w:r>
          </w:p>
        </w:tc>
        <w:tc>
          <w:tcPr>
            <w:tcW w:w="4361" w:type="dxa"/>
            <w:vAlign w:val="center"/>
          </w:tcPr>
          <w:p>
            <w:pPr>
              <w:rPr>
                <w:rFonts w:ascii="宋体" w:hAnsi="宋体"/>
                <w:szCs w:val="21"/>
              </w:rPr>
            </w:pPr>
            <w:r>
              <w:rPr>
                <w:rFonts w:hint="eastAsia" w:ascii="宋体" w:hAnsi="宋体"/>
                <w:szCs w:val="21"/>
              </w:rPr>
              <w:t>查阅不符合的处置见证材料</w:t>
            </w:r>
          </w:p>
        </w:tc>
        <w:tc>
          <w:tcPr>
            <w:tcW w:w="2976" w:type="dxa"/>
            <w:vAlign w:val="center"/>
          </w:tcPr>
          <w:p>
            <w:pPr>
              <w:rPr>
                <w:rFonts w:ascii="宋体" w:hAnsi="宋体"/>
                <w:szCs w:val="21"/>
              </w:rPr>
            </w:pPr>
            <w:r>
              <w:rPr>
                <w:rFonts w:hint="eastAsia" w:ascii="宋体" w:hAnsi="宋体"/>
                <w:szCs w:val="21"/>
              </w:rPr>
              <w:t>不符合报告；</w:t>
            </w:r>
          </w:p>
          <w:p>
            <w:pPr>
              <w:rPr>
                <w:rFonts w:ascii="宋体" w:hAnsi="宋体"/>
                <w:szCs w:val="21"/>
              </w:rPr>
            </w:pPr>
            <w:r>
              <w:rPr>
                <w:rFonts w:hint="eastAsia" w:ascii="宋体" w:hAnsi="宋体"/>
                <w:szCs w:val="21"/>
              </w:rPr>
              <w:t>采取纠正的见证材料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21.1纠正措施控制程序的建立</w:t>
            </w:r>
          </w:p>
        </w:tc>
        <w:tc>
          <w:tcPr>
            <w:tcW w:w="4361" w:type="dxa"/>
            <w:vAlign w:val="center"/>
          </w:tcPr>
          <w:p>
            <w:pPr>
              <w:rPr>
                <w:rFonts w:ascii="宋体" w:hAnsi="宋体"/>
                <w:szCs w:val="21"/>
              </w:rPr>
            </w:pPr>
            <w:r>
              <w:rPr>
                <w:rFonts w:hint="eastAsia" w:ascii="宋体" w:hAnsi="宋体"/>
                <w:szCs w:val="21"/>
              </w:rPr>
              <w:t>纠正措施控制程序通常包括分析不符合原因、制定与评价纠正措施、实施纠正措施、验证纠正措施等控制点</w:t>
            </w:r>
          </w:p>
        </w:tc>
        <w:tc>
          <w:tcPr>
            <w:tcW w:w="2976" w:type="dxa"/>
            <w:vAlign w:val="center"/>
          </w:tcPr>
          <w:p>
            <w:pPr>
              <w:rPr>
                <w:rFonts w:ascii="宋体" w:hAnsi="宋体"/>
                <w:szCs w:val="21"/>
              </w:rPr>
            </w:pPr>
            <w:r>
              <w:rPr>
                <w:rFonts w:hint="eastAsia" w:ascii="宋体" w:hAnsi="宋体"/>
                <w:szCs w:val="21"/>
              </w:rPr>
              <w:t>经正式颁布实施的纠正措施控制程序文件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21.2纠正措施控制程序的实施</w:t>
            </w:r>
          </w:p>
        </w:tc>
        <w:tc>
          <w:tcPr>
            <w:tcW w:w="4361" w:type="dxa"/>
            <w:vAlign w:val="center"/>
          </w:tcPr>
          <w:p>
            <w:pPr>
              <w:rPr>
                <w:rFonts w:ascii="宋体" w:hAnsi="宋体"/>
                <w:szCs w:val="21"/>
              </w:rPr>
            </w:pPr>
            <w:r>
              <w:rPr>
                <w:rFonts w:hint="eastAsia" w:ascii="宋体" w:hAnsi="宋体"/>
                <w:szCs w:val="21"/>
              </w:rPr>
              <w:t>查阅纠正措施及验证见证材料</w:t>
            </w:r>
          </w:p>
        </w:tc>
        <w:tc>
          <w:tcPr>
            <w:tcW w:w="2976" w:type="dxa"/>
            <w:vAlign w:val="center"/>
          </w:tcPr>
          <w:p>
            <w:pPr>
              <w:rPr>
                <w:rFonts w:ascii="宋体" w:hAnsi="宋体"/>
                <w:szCs w:val="21"/>
              </w:rPr>
            </w:pPr>
            <w:r>
              <w:rPr>
                <w:rFonts w:hint="eastAsia" w:ascii="宋体" w:hAnsi="宋体"/>
                <w:szCs w:val="21"/>
              </w:rPr>
              <w:t>纠正措施实施记录；</w:t>
            </w:r>
          </w:p>
          <w:p>
            <w:pPr>
              <w:rPr>
                <w:rFonts w:ascii="宋体" w:hAnsi="宋体"/>
                <w:szCs w:val="21"/>
              </w:rPr>
            </w:pPr>
            <w:r>
              <w:rPr>
                <w:rFonts w:hint="eastAsia" w:ascii="宋体" w:hAnsi="宋体"/>
                <w:szCs w:val="21"/>
              </w:rPr>
              <w:t>纠正措施验证见证材料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22.1预防措施控制程序的建立</w:t>
            </w:r>
          </w:p>
        </w:tc>
        <w:tc>
          <w:tcPr>
            <w:tcW w:w="4361" w:type="dxa"/>
            <w:vAlign w:val="center"/>
          </w:tcPr>
          <w:p>
            <w:pPr>
              <w:rPr>
                <w:rFonts w:ascii="宋体" w:hAnsi="宋体"/>
                <w:szCs w:val="21"/>
              </w:rPr>
            </w:pPr>
            <w:r>
              <w:rPr>
                <w:rFonts w:hint="eastAsia" w:ascii="宋体" w:hAnsi="宋体"/>
                <w:szCs w:val="21"/>
              </w:rPr>
              <w:t>预防措施控制程序通常包括潜在不符合收集、原因分析、预防措施的启动时机与要求、制定与评价预防措施、有效性验证等控制点</w:t>
            </w:r>
          </w:p>
        </w:tc>
        <w:tc>
          <w:tcPr>
            <w:tcW w:w="2976" w:type="dxa"/>
            <w:vAlign w:val="center"/>
          </w:tcPr>
          <w:p>
            <w:pPr>
              <w:rPr>
                <w:rFonts w:ascii="宋体" w:hAnsi="宋体"/>
                <w:szCs w:val="21"/>
              </w:rPr>
            </w:pPr>
            <w:r>
              <w:rPr>
                <w:rFonts w:hint="eastAsia" w:ascii="宋体" w:hAnsi="宋体"/>
                <w:szCs w:val="21"/>
              </w:rPr>
              <w:t>经正式颁布实施的预防措施控制程序文件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22.2预防措施控制程序的实施</w:t>
            </w:r>
          </w:p>
        </w:tc>
        <w:tc>
          <w:tcPr>
            <w:tcW w:w="4361" w:type="dxa"/>
            <w:vAlign w:val="center"/>
          </w:tcPr>
          <w:p>
            <w:pPr>
              <w:rPr>
                <w:rFonts w:ascii="宋体" w:hAnsi="宋体"/>
                <w:szCs w:val="21"/>
              </w:rPr>
            </w:pPr>
            <w:r>
              <w:rPr>
                <w:rFonts w:hint="eastAsia" w:ascii="宋体" w:hAnsi="宋体"/>
                <w:szCs w:val="21"/>
              </w:rPr>
              <w:t>查阅预防措施及验证见证材料</w:t>
            </w:r>
          </w:p>
        </w:tc>
        <w:tc>
          <w:tcPr>
            <w:tcW w:w="2976" w:type="dxa"/>
            <w:vAlign w:val="center"/>
          </w:tcPr>
          <w:p>
            <w:pPr>
              <w:rPr>
                <w:rFonts w:ascii="宋体" w:hAnsi="宋体"/>
                <w:szCs w:val="21"/>
              </w:rPr>
            </w:pPr>
            <w:r>
              <w:rPr>
                <w:rFonts w:hint="eastAsia" w:ascii="宋体" w:hAnsi="宋体"/>
                <w:szCs w:val="21"/>
              </w:rPr>
              <w:t>预防措施实施记录；</w:t>
            </w:r>
          </w:p>
          <w:p>
            <w:pPr>
              <w:rPr>
                <w:rFonts w:ascii="宋体" w:hAnsi="宋体"/>
                <w:szCs w:val="21"/>
              </w:rPr>
            </w:pPr>
            <w:r>
              <w:rPr>
                <w:rFonts w:hint="eastAsia" w:ascii="宋体" w:hAnsi="宋体"/>
                <w:szCs w:val="21"/>
              </w:rPr>
              <w:t>预防潜在不符合的通知或文件；</w:t>
            </w:r>
          </w:p>
          <w:p>
            <w:pPr>
              <w:rPr>
                <w:rFonts w:ascii="宋体" w:hAnsi="宋体"/>
                <w:szCs w:val="21"/>
              </w:rPr>
            </w:pPr>
            <w:r>
              <w:rPr>
                <w:rFonts w:hint="eastAsia" w:ascii="宋体" w:hAnsi="宋体"/>
                <w:szCs w:val="21"/>
              </w:rPr>
              <w:t>预防措施验证见证材料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23.1投诉控制程序的建立</w:t>
            </w:r>
          </w:p>
        </w:tc>
        <w:tc>
          <w:tcPr>
            <w:tcW w:w="4361" w:type="dxa"/>
            <w:vAlign w:val="center"/>
          </w:tcPr>
          <w:p>
            <w:pPr>
              <w:rPr>
                <w:rFonts w:ascii="宋体" w:hAnsi="宋体"/>
                <w:szCs w:val="21"/>
              </w:rPr>
            </w:pPr>
            <w:r>
              <w:rPr>
                <w:rFonts w:hint="eastAsia" w:ascii="宋体" w:hAnsi="宋体"/>
                <w:szCs w:val="21"/>
              </w:rPr>
              <w:t>投诉控制程序通常包括投诉的受理、处理及跟踪验证、改进途径等控制点</w:t>
            </w:r>
          </w:p>
        </w:tc>
        <w:tc>
          <w:tcPr>
            <w:tcW w:w="2976" w:type="dxa"/>
            <w:vAlign w:val="center"/>
          </w:tcPr>
          <w:p>
            <w:pPr>
              <w:rPr>
                <w:rFonts w:ascii="宋体" w:hAnsi="宋体"/>
                <w:szCs w:val="21"/>
              </w:rPr>
            </w:pPr>
            <w:r>
              <w:rPr>
                <w:rFonts w:hint="eastAsia" w:ascii="宋体" w:hAnsi="宋体"/>
                <w:szCs w:val="21"/>
              </w:rPr>
              <w:t>经正式颁布实施的投诉控制程序文件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23.2投诉控制程序的实施</w:t>
            </w:r>
          </w:p>
        </w:tc>
        <w:tc>
          <w:tcPr>
            <w:tcW w:w="4361" w:type="dxa"/>
            <w:vAlign w:val="center"/>
          </w:tcPr>
          <w:p>
            <w:pPr>
              <w:rPr>
                <w:rFonts w:ascii="宋体" w:hAnsi="宋体"/>
                <w:szCs w:val="21"/>
              </w:rPr>
            </w:pPr>
            <w:r>
              <w:rPr>
                <w:rFonts w:hint="eastAsia" w:ascii="宋体" w:hAnsi="宋体"/>
                <w:szCs w:val="21"/>
              </w:rPr>
              <w:t>查阅与询问投诉的处理见证材料</w:t>
            </w:r>
          </w:p>
        </w:tc>
        <w:tc>
          <w:tcPr>
            <w:tcW w:w="2976" w:type="dxa"/>
            <w:vAlign w:val="center"/>
          </w:tcPr>
          <w:p>
            <w:pPr>
              <w:rPr>
                <w:rFonts w:ascii="宋体" w:hAnsi="宋体"/>
                <w:szCs w:val="21"/>
              </w:rPr>
            </w:pPr>
            <w:r>
              <w:rPr>
                <w:rFonts w:hint="eastAsia" w:ascii="宋体" w:hAnsi="宋体"/>
                <w:szCs w:val="21"/>
              </w:rPr>
              <w:t>投诉受理单；</w:t>
            </w:r>
          </w:p>
          <w:p>
            <w:pPr>
              <w:rPr>
                <w:rFonts w:ascii="宋体" w:hAnsi="宋体"/>
                <w:szCs w:val="21"/>
              </w:rPr>
            </w:pPr>
            <w:r>
              <w:rPr>
                <w:rFonts w:hint="eastAsia" w:ascii="宋体" w:hAnsi="宋体"/>
                <w:szCs w:val="21"/>
              </w:rPr>
              <w:t>投诉调查处理记录等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24.1数据统计分析控制程序的建立</w:t>
            </w:r>
          </w:p>
        </w:tc>
        <w:tc>
          <w:tcPr>
            <w:tcW w:w="4361" w:type="dxa"/>
            <w:vAlign w:val="center"/>
          </w:tcPr>
          <w:p>
            <w:pPr>
              <w:rPr>
                <w:rFonts w:ascii="宋体" w:hAnsi="宋体"/>
                <w:szCs w:val="21"/>
              </w:rPr>
            </w:pPr>
            <w:r>
              <w:rPr>
                <w:rFonts w:hint="eastAsia" w:ascii="宋体" w:hAnsi="宋体"/>
                <w:szCs w:val="21"/>
              </w:rPr>
              <w:t>数据统计分析控制程序至少包括数据来源、内容、收集途径、统计分析的方式方法、结果应用等控制点</w:t>
            </w:r>
          </w:p>
        </w:tc>
        <w:tc>
          <w:tcPr>
            <w:tcW w:w="2976" w:type="dxa"/>
            <w:vAlign w:val="center"/>
          </w:tcPr>
          <w:p>
            <w:pPr>
              <w:rPr>
                <w:rFonts w:ascii="宋体" w:hAnsi="宋体"/>
                <w:szCs w:val="21"/>
              </w:rPr>
            </w:pPr>
            <w:r>
              <w:rPr>
                <w:rFonts w:hint="eastAsia" w:ascii="宋体" w:hAnsi="宋体"/>
                <w:szCs w:val="21"/>
              </w:rPr>
              <w:t>经正式颁布实施的数据统计分析控制程序文件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24.2数据统计分析控制程序的实施</w:t>
            </w:r>
          </w:p>
        </w:tc>
        <w:tc>
          <w:tcPr>
            <w:tcW w:w="4361" w:type="dxa"/>
            <w:vAlign w:val="center"/>
          </w:tcPr>
          <w:p>
            <w:pPr>
              <w:rPr>
                <w:rFonts w:ascii="宋体" w:hAnsi="宋体"/>
                <w:szCs w:val="21"/>
              </w:rPr>
            </w:pPr>
            <w:r>
              <w:rPr>
                <w:rFonts w:hint="eastAsia" w:ascii="宋体" w:hAnsi="宋体"/>
                <w:szCs w:val="21"/>
              </w:rPr>
              <w:t>查阅数据统计分析见证材料</w:t>
            </w:r>
          </w:p>
        </w:tc>
        <w:tc>
          <w:tcPr>
            <w:tcW w:w="2976" w:type="dxa"/>
            <w:vAlign w:val="center"/>
          </w:tcPr>
          <w:p>
            <w:pPr>
              <w:rPr>
                <w:rFonts w:ascii="宋体" w:hAnsi="宋体"/>
                <w:szCs w:val="21"/>
              </w:rPr>
            </w:pPr>
            <w:r>
              <w:rPr>
                <w:rFonts w:hint="eastAsia" w:ascii="宋体" w:hAnsi="宋体"/>
                <w:szCs w:val="21"/>
              </w:rPr>
              <w:t>年度数据统计分析报告；</w:t>
            </w:r>
          </w:p>
          <w:p>
            <w:pPr>
              <w:rPr>
                <w:rFonts w:ascii="宋体" w:hAnsi="宋体"/>
                <w:szCs w:val="21"/>
              </w:rPr>
            </w:pPr>
            <w:r>
              <w:rPr>
                <w:rFonts w:hint="eastAsia" w:ascii="宋体" w:hAnsi="宋体"/>
                <w:szCs w:val="21"/>
              </w:rPr>
              <w:t>统计分析结果应用材料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25.1与政府、行业和客户关系控制程序的建立</w:t>
            </w:r>
          </w:p>
        </w:tc>
        <w:tc>
          <w:tcPr>
            <w:tcW w:w="4361" w:type="dxa"/>
            <w:vAlign w:val="center"/>
          </w:tcPr>
          <w:p>
            <w:pPr>
              <w:rPr>
                <w:rFonts w:ascii="宋体" w:hAnsi="宋体"/>
                <w:szCs w:val="21"/>
              </w:rPr>
            </w:pPr>
            <w:r>
              <w:rPr>
                <w:rFonts w:hint="eastAsia" w:ascii="宋体" w:hAnsi="宋体"/>
                <w:szCs w:val="21"/>
              </w:rPr>
              <w:t>与政府、行业和客户关系控制程序通常包括接受政府监督（资质管理、接受检查、风险报告）、客户承诺（客观、公正和保密）、行业自律（建立和实施诚信管理体系）、自身能力提升等控制点</w:t>
            </w:r>
          </w:p>
        </w:tc>
        <w:tc>
          <w:tcPr>
            <w:tcW w:w="2976" w:type="dxa"/>
            <w:vAlign w:val="center"/>
          </w:tcPr>
          <w:p>
            <w:pPr>
              <w:rPr>
                <w:rFonts w:ascii="宋体" w:hAnsi="宋体"/>
                <w:szCs w:val="21"/>
              </w:rPr>
            </w:pPr>
            <w:r>
              <w:rPr>
                <w:rFonts w:hint="eastAsia" w:ascii="宋体" w:hAnsi="宋体"/>
                <w:szCs w:val="21"/>
              </w:rPr>
              <w:t>经正式颁布实施的与政府、行业和客户关系控制程序文件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76" w:type="dxa"/>
            <w:vAlign w:val="center"/>
          </w:tcPr>
          <w:p>
            <w:pPr>
              <w:rPr>
                <w:rFonts w:ascii="宋体" w:hAnsi="宋体"/>
                <w:szCs w:val="21"/>
              </w:rPr>
            </w:pPr>
            <w:r>
              <w:rPr>
                <w:rFonts w:hint="eastAsia" w:ascii="宋体" w:hAnsi="宋体"/>
                <w:szCs w:val="21"/>
              </w:rPr>
              <w:t>25.2与政府、行业和客户关系控制程序的实施</w:t>
            </w:r>
          </w:p>
        </w:tc>
        <w:tc>
          <w:tcPr>
            <w:tcW w:w="4361" w:type="dxa"/>
            <w:vAlign w:val="center"/>
          </w:tcPr>
          <w:p>
            <w:pPr>
              <w:rPr>
                <w:rFonts w:ascii="宋体" w:hAnsi="宋体"/>
                <w:szCs w:val="21"/>
              </w:rPr>
            </w:pPr>
            <w:r>
              <w:rPr>
                <w:rFonts w:hint="eastAsia" w:ascii="宋体" w:hAnsi="宋体"/>
                <w:szCs w:val="21"/>
              </w:rPr>
              <w:t>查阅提供接受监督的见证材料及有关问题整改的见证材料，变更备案的见证材料，报告重大风险的见证材料；</w:t>
            </w:r>
          </w:p>
          <w:p>
            <w:pPr>
              <w:rPr>
                <w:rFonts w:ascii="宋体" w:hAnsi="宋体"/>
                <w:szCs w:val="21"/>
              </w:rPr>
            </w:pPr>
            <w:r>
              <w:rPr>
                <w:rFonts w:hint="eastAsia" w:ascii="宋体" w:hAnsi="宋体"/>
                <w:szCs w:val="21"/>
              </w:rPr>
              <w:t>查阅诚信管理体系的建立与实施见证材料；</w:t>
            </w:r>
          </w:p>
          <w:p>
            <w:pPr>
              <w:rPr>
                <w:rFonts w:ascii="宋体" w:hAnsi="宋体"/>
                <w:szCs w:val="21"/>
              </w:rPr>
            </w:pPr>
            <w:r>
              <w:rPr>
                <w:rFonts w:hint="eastAsia" w:ascii="宋体" w:hAnsi="宋体"/>
                <w:szCs w:val="21"/>
              </w:rPr>
              <w:t>查阅参与行业内检查能力评价与验证活动见证材料</w:t>
            </w:r>
          </w:p>
        </w:tc>
        <w:tc>
          <w:tcPr>
            <w:tcW w:w="2976" w:type="dxa"/>
            <w:vAlign w:val="center"/>
          </w:tcPr>
          <w:p>
            <w:pPr>
              <w:rPr>
                <w:rFonts w:ascii="宋体" w:hAnsi="宋体"/>
                <w:szCs w:val="21"/>
              </w:rPr>
            </w:pPr>
            <w:r>
              <w:rPr>
                <w:rFonts w:hint="eastAsia" w:ascii="宋体" w:hAnsi="宋体"/>
                <w:szCs w:val="21"/>
              </w:rPr>
              <w:t>监督检查文函；</w:t>
            </w:r>
          </w:p>
          <w:p>
            <w:pPr>
              <w:rPr>
                <w:rFonts w:ascii="宋体" w:hAnsi="宋体"/>
                <w:szCs w:val="21"/>
              </w:rPr>
            </w:pPr>
            <w:r>
              <w:rPr>
                <w:rFonts w:hint="eastAsia" w:ascii="宋体" w:hAnsi="宋体"/>
                <w:szCs w:val="21"/>
              </w:rPr>
              <w:t>整改见证材料；</w:t>
            </w:r>
          </w:p>
          <w:p>
            <w:pPr>
              <w:rPr>
                <w:rFonts w:ascii="宋体" w:hAnsi="宋体"/>
                <w:szCs w:val="21"/>
              </w:rPr>
            </w:pPr>
            <w:r>
              <w:rPr>
                <w:rFonts w:hint="eastAsia" w:ascii="宋体" w:hAnsi="宋体"/>
                <w:szCs w:val="21"/>
              </w:rPr>
              <w:t>特种设备重大风险报告；</w:t>
            </w:r>
          </w:p>
          <w:p>
            <w:pPr>
              <w:rPr>
                <w:rFonts w:ascii="宋体" w:hAnsi="宋体"/>
                <w:szCs w:val="21"/>
              </w:rPr>
            </w:pPr>
            <w:r>
              <w:rPr>
                <w:rFonts w:hint="eastAsia" w:ascii="宋体" w:hAnsi="宋体"/>
                <w:szCs w:val="21"/>
              </w:rPr>
              <w:t>诚信管理体系文件；</w:t>
            </w:r>
          </w:p>
          <w:p>
            <w:pPr>
              <w:rPr>
                <w:rFonts w:ascii="宋体" w:hAnsi="宋体"/>
                <w:szCs w:val="21"/>
              </w:rPr>
            </w:pPr>
            <w:r>
              <w:rPr>
                <w:rFonts w:hint="eastAsia" w:ascii="宋体" w:hAnsi="宋体"/>
                <w:szCs w:val="21"/>
              </w:rPr>
              <w:t>能力评价与验证见证材料</w:t>
            </w:r>
          </w:p>
        </w:tc>
      </w:tr>
    </w:tbl>
    <w:p>
      <w:pPr>
        <w:spacing w:line="276" w:lineRule="auto"/>
        <w:rPr>
          <w:rFonts w:ascii="宋体" w:hAnsi="宋体"/>
          <w:szCs w:val="21"/>
        </w:rPr>
      </w:pPr>
      <w:r>
        <w:rPr>
          <w:rFonts w:hint="eastAsia" w:ascii="宋体" w:hAnsi="宋体"/>
          <w:szCs w:val="21"/>
        </w:rPr>
        <w:t>注：属于延续核准的申请单位应当提供上次核准以来的近4年质量体系运行见证材料；属于首次核准的申请单位应当提供证明质量体系已经有效运行的见证材料。</w:t>
      </w:r>
    </w:p>
    <w:p>
      <w:pPr>
        <w:spacing w:line="480" w:lineRule="auto"/>
        <w:outlineLvl w:val="0"/>
        <w:rPr>
          <w:rFonts w:ascii="宋体" w:hAnsi="宋体" w:cs="黑体"/>
          <w:b/>
          <w:sz w:val="24"/>
        </w:rPr>
      </w:pPr>
      <w:r>
        <w:rPr>
          <w:rFonts w:hint="eastAsia" w:ascii="宋体" w:hAnsi="宋体" w:cs="黑体"/>
          <w:b/>
          <w:sz w:val="24"/>
        </w:rPr>
        <w:t>5.3校验能力评价方面</w:t>
      </w:r>
    </w:p>
    <w:p>
      <w:pPr>
        <w:spacing w:line="360" w:lineRule="auto"/>
        <w:rPr>
          <w:rFonts w:ascii="宋体" w:hAnsi="宋体"/>
          <w:sz w:val="24"/>
        </w:rPr>
      </w:pPr>
      <w:r>
        <w:rPr>
          <w:rFonts w:hint="eastAsia" w:ascii="宋体" w:hAnsi="宋体"/>
          <w:b/>
          <w:sz w:val="24"/>
        </w:rPr>
        <w:t xml:space="preserve">    </w:t>
      </w:r>
      <w:r>
        <w:rPr>
          <w:rFonts w:hint="eastAsia" w:ascii="宋体" w:hAnsi="宋体"/>
          <w:sz w:val="24"/>
        </w:rPr>
        <w:t>校验能力评价需要提供的见证材料及要求见表</w:t>
      </w:r>
      <w:r>
        <w:rPr>
          <w:rFonts w:ascii="宋体" w:hAnsi="宋体"/>
          <w:sz w:val="24"/>
        </w:rPr>
        <w:t>19</w:t>
      </w:r>
      <w:r>
        <w:rPr>
          <w:rFonts w:hint="eastAsia" w:ascii="宋体" w:hAnsi="宋体"/>
          <w:sz w:val="24"/>
        </w:rPr>
        <w:t>-3：</w:t>
      </w:r>
    </w:p>
    <w:p>
      <w:pPr>
        <w:spacing w:line="480" w:lineRule="auto"/>
        <w:jc w:val="center"/>
        <w:outlineLvl w:val="0"/>
        <w:rPr>
          <w:rFonts w:ascii="宋体" w:hAnsi="宋体" w:cs="黑体"/>
          <w:b/>
          <w:sz w:val="24"/>
        </w:rPr>
      </w:pPr>
      <w:r>
        <w:rPr>
          <w:rFonts w:hint="eastAsia" w:ascii="宋体" w:hAnsi="宋体" w:cs="黑体"/>
          <w:b/>
          <w:sz w:val="24"/>
        </w:rPr>
        <w:t>表</w:t>
      </w:r>
      <w:r>
        <w:rPr>
          <w:rFonts w:ascii="宋体" w:hAnsi="宋体" w:cs="黑体"/>
          <w:b/>
          <w:sz w:val="24"/>
        </w:rPr>
        <w:t>19</w:t>
      </w:r>
      <w:r>
        <w:rPr>
          <w:rFonts w:hint="eastAsia" w:ascii="宋体" w:hAnsi="宋体" w:cs="黑体"/>
          <w:b/>
          <w:sz w:val="24"/>
        </w:rPr>
        <w:t>-3  校验能力评价见证材料及要求</w:t>
      </w:r>
    </w:p>
    <w:tbl>
      <w:tblPr>
        <w:tblStyle w:val="17"/>
        <w:tblW w:w="86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3010"/>
        <w:gridCol w:w="40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26" w:type="dxa"/>
          </w:tcPr>
          <w:p>
            <w:pPr>
              <w:jc w:val="center"/>
              <w:rPr>
                <w:rFonts w:ascii="宋体" w:hAnsi="宋体"/>
                <w:szCs w:val="21"/>
              </w:rPr>
            </w:pPr>
            <w:r>
              <w:rPr>
                <w:rFonts w:hint="eastAsia" w:ascii="宋体" w:hAnsi="宋体"/>
                <w:szCs w:val="21"/>
              </w:rPr>
              <w:t>评审项目</w:t>
            </w:r>
          </w:p>
        </w:tc>
        <w:tc>
          <w:tcPr>
            <w:tcW w:w="3010" w:type="dxa"/>
            <w:vAlign w:val="center"/>
          </w:tcPr>
          <w:p>
            <w:pPr>
              <w:jc w:val="center"/>
              <w:rPr>
                <w:rFonts w:ascii="宋体" w:hAnsi="宋体"/>
                <w:szCs w:val="21"/>
              </w:rPr>
            </w:pPr>
            <w:r>
              <w:rPr>
                <w:rFonts w:hint="eastAsia" w:ascii="宋体" w:hAnsi="宋体"/>
                <w:szCs w:val="21"/>
              </w:rPr>
              <w:t>评审内容与要求</w:t>
            </w:r>
          </w:p>
        </w:tc>
        <w:tc>
          <w:tcPr>
            <w:tcW w:w="4077" w:type="dxa"/>
            <w:vAlign w:val="center"/>
          </w:tcPr>
          <w:p>
            <w:pPr>
              <w:jc w:val="center"/>
              <w:rPr>
                <w:rFonts w:ascii="宋体" w:hAnsi="宋体"/>
                <w:szCs w:val="21"/>
              </w:rPr>
            </w:pPr>
            <w:r>
              <w:rPr>
                <w:rFonts w:hint="eastAsia" w:ascii="宋体" w:hAnsi="宋体"/>
                <w:szCs w:val="21"/>
              </w:rPr>
              <w:t>提供评审验证的相关见证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6" w:hRule="atLeast"/>
          <w:jc w:val="center"/>
        </w:trPr>
        <w:tc>
          <w:tcPr>
            <w:tcW w:w="1526" w:type="dxa"/>
            <w:vAlign w:val="center"/>
          </w:tcPr>
          <w:p>
            <w:pPr>
              <w:jc w:val="center"/>
              <w:rPr>
                <w:rFonts w:ascii="宋体" w:hAnsi="宋体"/>
                <w:szCs w:val="21"/>
              </w:rPr>
            </w:pPr>
            <w:r>
              <w:rPr>
                <w:rFonts w:hint="eastAsia" w:ascii="宋体" w:hAnsi="宋体"/>
                <w:szCs w:val="21"/>
              </w:rPr>
              <w:t>校验报告</w:t>
            </w:r>
          </w:p>
        </w:tc>
        <w:tc>
          <w:tcPr>
            <w:tcW w:w="3010" w:type="dxa"/>
            <w:vAlign w:val="center"/>
          </w:tcPr>
          <w:p>
            <w:pPr>
              <w:rPr>
                <w:rFonts w:ascii="宋体" w:hAnsi="宋体"/>
                <w:szCs w:val="21"/>
              </w:rPr>
            </w:pPr>
            <w:r>
              <w:rPr>
                <w:rFonts w:hint="eastAsia" w:ascii="宋体" w:hAnsi="宋体"/>
                <w:szCs w:val="21"/>
              </w:rPr>
              <w:t>评价申请项目校验报告</w:t>
            </w:r>
          </w:p>
        </w:tc>
        <w:tc>
          <w:tcPr>
            <w:tcW w:w="4077" w:type="dxa"/>
            <w:vAlign w:val="center"/>
          </w:tcPr>
          <w:p>
            <w:pPr>
              <w:rPr>
                <w:rFonts w:ascii="宋体" w:hAnsi="宋体"/>
                <w:szCs w:val="21"/>
              </w:rPr>
            </w:pPr>
            <w:r>
              <w:rPr>
                <w:rFonts w:hint="eastAsia" w:ascii="宋体" w:hAnsi="宋体"/>
                <w:szCs w:val="21"/>
              </w:rPr>
              <w:t>校验报告台账；</w:t>
            </w:r>
          </w:p>
          <w:p>
            <w:pPr>
              <w:rPr>
                <w:rFonts w:ascii="宋体" w:hAnsi="宋体"/>
                <w:szCs w:val="21"/>
              </w:rPr>
            </w:pPr>
            <w:r>
              <w:rPr>
                <w:rFonts w:hint="eastAsia" w:ascii="宋体" w:hAnsi="宋体"/>
                <w:szCs w:val="21"/>
              </w:rPr>
              <w:t>技术档案存档资料（操作指导书、校验记录、校验报告）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22" w:hRule="atLeast"/>
          <w:jc w:val="center"/>
        </w:trPr>
        <w:tc>
          <w:tcPr>
            <w:tcW w:w="1526" w:type="dxa"/>
            <w:vAlign w:val="center"/>
          </w:tcPr>
          <w:p>
            <w:pPr>
              <w:jc w:val="center"/>
              <w:rPr>
                <w:rFonts w:ascii="宋体" w:hAnsi="宋体"/>
                <w:szCs w:val="21"/>
              </w:rPr>
            </w:pPr>
            <w:r>
              <w:rPr>
                <w:rFonts w:hint="eastAsia" w:ascii="宋体" w:hAnsi="宋体"/>
                <w:szCs w:val="21"/>
              </w:rPr>
              <w:t>校验过程</w:t>
            </w:r>
          </w:p>
        </w:tc>
        <w:tc>
          <w:tcPr>
            <w:tcW w:w="3010" w:type="dxa"/>
            <w:vAlign w:val="center"/>
          </w:tcPr>
          <w:p>
            <w:pPr>
              <w:rPr>
                <w:rFonts w:ascii="宋体" w:hAnsi="宋体"/>
                <w:szCs w:val="21"/>
              </w:rPr>
            </w:pPr>
            <w:r>
              <w:rPr>
                <w:rFonts w:hint="eastAsia" w:ascii="宋体" w:hAnsi="宋体"/>
                <w:szCs w:val="21"/>
              </w:rPr>
              <w:t>全过程跟踪校验实施</w:t>
            </w:r>
          </w:p>
        </w:tc>
        <w:tc>
          <w:tcPr>
            <w:tcW w:w="4077" w:type="dxa"/>
            <w:vAlign w:val="center"/>
          </w:tcPr>
          <w:p>
            <w:pPr>
              <w:rPr>
                <w:rFonts w:ascii="宋体" w:hAnsi="宋体"/>
                <w:szCs w:val="21"/>
              </w:rPr>
            </w:pPr>
            <w:r>
              <w:rPr>
                <w:rFonts w:hint="eastAsia" w:ascii="宋体" w:hAnsi="宋体"/>
                <w:szCs w:val="21"/>
              </w:rPr>
              <w:t>单位在职持证人员名册；</w:t>
            </w:r>
          </w:p>
          <w:p>
            <w:pPr>
              <w:rPr>
                <w:rFonts w:ascii="宋体" w:hAnsi="宋体"/>
                <w:szCs w:val="21"/>
              </w:rPr>
            </w:pPr>
            <w:r>
              <w:rPr>
                <w:rFonts w:hint="eastAsia" w:ascii="宋体" w:hAnsi="宋体"/>
                <w:szCs w:val="21"/>
              </w:rPr>
              <w:t>关键岗位人员任命文件；</w:t>
            </w:r>
          </w:p>
          <w:p>
            <w:pPr>
              <w:rPr>
                <w:rFonts w:ascii="宋体" w:hAnsi="宋体"/>
                <w:szCs w:val="21"/>
              </w:rPr>
            </w:pPr>
            <w:r>
              <w:rPr>
                <w:rFonts w:hint="eastAsia" w:ascii="宋体" w:hAnsi="宋体"/>
                <w:szCs w:val="21"/>
              </w:rPr>
              <w:t>安全阀接受记录；</w:t>
            </w:r>
          </w:p>
          <w:p>
            <w:pPr>
              <w:rPr>
                <w:rFonts w:ascii="宋体" w:hAnsi="宋体"/>
                <w:szCs w:val="21"/>
              </w:rPr>
            </w:pPr>
            <w:r>
              <w:rPr>
                <w:rFonts w:hint="eastAsia" w:ascii="宋体" w:hAnsi="宋体"/>
                <w:szCs w:val="21"/>
              </w:rPr>
              <w:t>校验作业文件（包括操作规程）；</w:t>
            </w:r>
          </w:p>
          <w:p>
            <w:pPr>
              <w:rPr>
                <w:rFonts w:ascii="宋体" w:hAnsi="宋体"/>
                <w:szCs w:val="21"/>
              </w:rPr>
            </w:pPr>
            <w:r>
              <w:rPr>
                <w:rFonts w:hint="eastAsia" w:ascii="宋体" w:hAnsi="宋体"/>
                <w:szCs w:val="21"/>
              </w:rPr>
              <w:t>校验设备状态证明；</w:t>
            </w:r>
          </w:p>
          <w:p>
            <w:pPr>
              <w:rPr>
                <w:rFonts w:ascii="宋体" w:hAnsi="宋体"/>
                <w:szCs w:val="21"/>
              </w:rPr>
            </w:pPr>
            <w:r>
              <w:rPr>
                <w:rFonts w:hint="eastAsia" w:ascii="宋体" w:hAnsi="宋体"/>
                <w:szCs w:val="21"/>
              </w:rPr>
              <w:t>校验记录、报告等</w:t>
            </w:r>
          </w:p>
        </w:tc>
      </w:tr>
    </w:tbl>
    <w:p>
      <w:pPr>
        <w:spacing w:line="360" w:lineRule="auto"/>
        <w:rPr>
          <w:rFonts w:ascii="宋体" w:hAnsi="宋体"/>
          <w:sz w:val="24"/>
        </w:rPr>
      </w:pPr>
    </w:p>
    <w:p>
      <w:pPr>
        <w:spacing w:line="480" w:lineRule="auto"/>
        <w:outlineLvl w:val="0"/>
        <w:rPr>
          <w:rFonts w:ascii="宋体" w:hAnsi="宋体" w:cs="黑体"/>
          <w:b/>
          <w:sz w:val="24"/>
        </w:rPr>
      </w:pPr>
      <w:r>
        <w:rPr>
          <w:rFonts w:hint="eastAsia" w:ascii="宋体" w:hAnsi="宋体" w:cs="黑体"/>
          <w:b/>
          <w:sz w:val="24"/>
        </w:rPr>
        <w:t>6  需要提交评审机构的资料</w:t>
      </w:r>
    </w:p>
    <w:p>
      <w:pPr>
        <w:spacing w:line="500" w:lineRule="exact"/>
        <w:rPr>
          <w:rFonts w:ascii="Calibri" w:hAnsi="Calibri"/>
          <w:sz w:val="24"/>
        </w:rPr>
      </w:pPr>
      <w:r>
        <w:rPr>
          <w:rFonts w:hint="eastAsia" w:ascii="Calibri" w:hAnsi="Calibri"/>
          <w:sz w:val="24"/>
        </w:rPr>
        <w:t xml:space="preserve">    申请机构在接到鉴定评审机构的《特种设备鉴定评审通知函》后，应立即与评审组长取得联系，并向评审组提交如下见证材料，材料必须是原件的复印件或扫描件且装订成册：</w:t>
      </w:r>
    </w:p>
    <w:p>
      <w:pPr>
        <w:spacing w:line="500" w:lineRule="exact"/>
        <w:rPr>
          <w:rFonts w:ascii="Calibri" w:hAnsi="Calibri"/>
          <w:sz w:val="24"/>
        </w:rPr>
      </w:pPr>
      <w:r>
        <w:rPr>
          <w:rFonts w:hint="eastAsia" w:ascii="Calibri" w:hAnsi="Calibri"/>
          <w:sz w:val="24"/>
        </w:rPr>
        <w:t>（1）社会统一信用代码证（营业执照）或法人证书；</w:t>
      </w:r>
    </w:p>
    <w:p>
      <w:pPr>
        <w:spacing w:line="500" w:lineRule="exact"/>
        <w:ind w:left="2626" w:hanging="2625" w:hangingChars="1094"/>
        <w:jc w:val="left"/>
        <w:rPr>
          <w:rFonts w:ascii="Calibri" w:hAnsi="Calibri" w:cs="宋体"/>
          <w:sz w:val="24"/>
        </w:rPr>
      </w:pPr>
      <w:r>
        <w:rPr>
          <w:rFonts w:hint="eastAsia" w:cs="宋体"/>
          <w:sz w:val="24"/>
        </w:rPr>
        <w:t>（2）原</w:t>
      </w:r>
      <w:r>
        <w:rPr>
          <w:rFonts w:hint="eastAsia" w:ascii="Calibri" w:hAnsi="Calibri" w:cs="宋体"/>
          <w:sz w:val="24"/>
        </w:rPr>
        <w:t>核准证书（</w:t>
      </w:r>
      <w:r>
        <w:rPr>
          <w:rFonts w:hint="eastAsia" w:cs="宋体"/>
          <w:sz w:val="24"/>
        </w:rPr>
        <w:t>延续核准</w:t>
      </w:r>
      <w:r>
        <w:rPr>
          <w:rFonts w:hint="eastAsia" w:ascii="Calibri" w:hAnsi="Calibri" w:cs="宋体"/>
          <w:sz w:val="24"/>
        </w:rPr>
        <w:t>需要）；</w:t>
      </w:r>
    </w:p>
    <w:p>
      <w:pPr>
        <w:spacing w:line="500" w:lineRule="exact"/>
        <w:ind w:left="2626" w:hanging="2625" w:hangingChars="1094"/>
        <w:jc w:val="left"/>
        <w:rPr>
          <w:rFonts w:ascii="Calibri" w:hAnsi="Calibri" w:cs="宋体"/>
          <w:sz w:val="24"/>
        </w:rPr>
      </w:pPr>
      <w:r>
        <w:rPr>
          <w:rFonts w:hint="eastAsia" w:ascii="Calibri" w:hAnsi="Calibri" w:cs="宋体"/>
          <w:sz w:val="24"/>
        </w:rPr>
        <w:t>（3）特种设备检测机构核准申请书；</w:t>
      </w:r>
    </w:p>
    <w:p>
      <w:pPr>
        <w:spacing w:line="500" w:lineRule="exact"/>
        <w:ind w:left="2626" w:hanging="2625" w:hangingChars="1094"/>
        <w:jc w:val="left"/>
        <w:rPr>
          <w:rFonts w:ascii="Calibri" w:hAnsi="Calibri" w:cs="宋体"/>
          <w:sz w:val="24"/>
        </w:rPr>
      </w:pPr>
      <w:r>
        <w:rPr>
          <w:rFonts w:hint="eastAsia" w:cs="宋体"/>
          <w:sz w:val="24"/>
        </w:rPr>
        <w:t>（4）特种设备行政许可受理决定书</w:t>
      </w:r>
      <w:r>
        <w:rPr>
          <w:rFonts w:hint="eastAsia" w:ascii="Calibri" w:hAnsi="Calibri" w:cs="宋体"/>
          <w:sz w:val="24"/>
        </w:rPr>
        <w:t>；</w:t>
      </w:r>
    </w:p>
    <w:p>
      <w:pPr>
        <w:spacing w:line="500" w:lineRule="exact"/>
        <w:rPr>
          <w:rFonts w:ascii="Calibri" w:hAnsi="Calibri"/>
          <w:sz w:val="24"/>
        </w:rPr>
      </w:pPr>
      <w:r>
        <w:rPr>
          <w:rFonts w:hint="eastAsia" w:ascii="Calibri" w:hAnsi="Calibri"/>
          <w:sz w:val="24"/>
        </w:rPr>
        <w:t>（5）固定办公、试验场地证明材料（自有产权的包括土地使用证、房屋产权证；租赁的包括租赁合同及土地使用证、房屋产权证复印件）；</w:t>
      </w:r>
    </w:p>
    <w:p>
      <w:pPr>
        <w:spacing w:line="500" w:lineRule="exact"/>
        <w:ind w:left="2626" w:hanging="2625" w:hangingChars="1094"/>
        <w:jc w:val="left"/>
        <w:rPr>
          <w:rFonts w:cs="宋体"/>
          <w:sz w:val="24"/>
        </w:rPr>
      </w:pPr>
      <w:r>
        <w:rPr>
          <w:rFonts w:hint="eastAsia" w:cs="宋体"/>
          <w:sz w:val="24"/>
        </w:rPr>
        <w:t>（6）人员资料：</w:t>
      </w:r>
    </w:p>
    <w:p>
      <w:pPr>
        <w:spacing w:line="500" w:lineRule="exact"/>
        <w:ind w:left="2626" w:hanging="2625" w:hangingChars="1094"/>
        <w:jc w:val="left"/>
        <w:rPr>
          <w:rFonts w:cs="宋体"/>
          <w:sz w:val="24"/>
        </w:rPr>
      </w:pPr>
      <w:r>
        <w:rPr>
          <w:rFonts w:hint="eastAsia" w:cs="宋体"/>
          <w:sz w:val="24"/>
        </w:rPr>
        <w:t xml:space="preserve">    a.持证人员劳动合同；</w:t>
      </w:r>
    </w:p>
    <w:p>
      <w:pPr>
        <w:spacing w:line="500" w:lineRule="exact"/>
        <w:ind w:left="2626" w:hanging="2625" w:hangingChars="1094"/>
        <w:jc w:val="left"/>
        <w:rPr>
          <w:rFonts w:cs="宋体"/>
          <w:sz w:val="24"/>
        </w:rPr>
      </w:pPr>
      <w:r>
        <w:rPr>
          <w:rFonts w:hint="eastAsia" w:cs="宋体"/>
          <w:sz w:val="24"/>
        </w:rPr>
        <w:t xml:space="preserve">    b.</w:t>
      </w:r>
      <w:r>
        <w:rPr>
          <w:rFonts w:hint="eastAsia" w:ascii="Calibri" w:hAnsi="Calibri" w:cs="宋体"/>
          <w:sz w:val="24"/>
        </w:rPr>
        <w:t>技术负责人、质量负责人、责任人员任命文件；</w:t>
      </w:r>
    </w:p>
    <w:p>
      <w:pPr>
        <w:spacing w:line="500" w:lineRule="exact"/>
        <w:ind w:left="2626" w:hanging="2625" w:hangingChars="1094"/>
        <w:jc w:val="left"/>
        <w:rPr>
          <w:rFonts w:cs="宋体"/>
          <w:sz w:val="24"/>
        </w:rPr>
      </w:pPr>
      <w:r>
        <w:rPr>
          <w:rFonts w:hint="eastAsia" w:cs="宋体"/>
          <w:sz w:val="24"/>
        </w:rPr>
        <w:t xml:space="preserve">    c.校验资格证件、注册证书（锅炉压力容器压力管道检验师需要）；</w:t>
      </w:r>
    </w:p>
    <w:p>
      <w:pPr>
        <w:spacing w:line="500" w:lineRule="exact"/>
        <w:ind w:left="2626" w:hanging="2625" w:hangingChars="1094"/>
        <w:jc w:val="left"/>
        <w:rPr>
          <w:rFonts w:cs="宋体"/>
          <w:sz w:val="24"/>
        </w:rPr>
      </w:pPr>
      <w:r>
        <w:rPr>
          <w:rFonts w:hint="eastAsia" w:cs="宋体"/>
          <w:sz w:val="24"/>
        </w:rPr>
        <w:t xml:space="preserve">    d.培训证明。</w:t>
      </w:r>
    </w:p>
    <w:p>
      <w:pPr>
        <w:spacing w:line="500" w:lineRule="exact"/>
        <w:ind w:left="2626" w:hanging="2625" w:hangingChars="1094"/>
        <w:jc w:val="left"/>
        <w:rPr>
          <w:rFonts w:cs="宋体"/>
          <w:sz w:val="24"/>
        </w:rPr>
      </w:pPr>
      <w:r>
        <w:rPr>
          <w:rFonts w:hint="eastAsia" w:cs="宋体"/>
          <w:sz w:val="24"/>
        </w:rPr>
        <w:t>（7）校验仪器设备</w:t>
      </w:r>
    </w:p>
    <w:p>
      <w:pPr>
        <w:spacing w:line="500" w:lineRule="exact"/>
        <w:ind w:left="2626" w:hanging="2625" w:hangingChars="1094"/>
        <w:jc w:val="left"/>
        <w:rPr>
          <w:rFonts w:cs="宋体"/>
          <w:sz w:val="24"/>
        </w:rPr>
      </w:pPr>
      <w:r>
        <w:rPr>
          <w:rFonts w:hint="eastAsia" w:cs="宋体"/>
          <w:sz w:val="24"/>
        </w:rPr>
        <w:t xml:space="preserve">    a.校验</w:t>
      </w:r>
      <w:r>
        <w:rPr>
          <w:rFonts w:hint="eastAsia" w:ascii="Calibri" w:hAnsi="Calibri" w:cs="宋体"/>
          <w:sz w:val="24"/>
        </w:rPr>
        <w:t>仪器、设备、设施</w:t>
      </w:r>
      <w:r>
        <w:rPr>
          <w:rFonts w:hint="eastAsia" w:cs="宋体"/>
          <w:sz w:val="24"/>
        </w:rPr>
        <w:t>固定资产台账</w:t>
      </w:r>
      <w:r>
        <w:rPr>
          <w:rFonts w:hint="eastAsia" w:ascii="Calibri" w:hAnsi="Calibri" w:cs="宋体"/>
          <w:sz w:val="24"/>
        </w:rPr>
        <w:t>；</w:t>
      </w:r>
    </w:p>
    <w:p>
      <w:pPr>
        <w:spacing w:line="500" w:lineRule="exact"/>
        <w:ind w:left="2626" w:hanging="2625" w:hangingChars="1094"/>
        <w:jc w:val="left"/>
        <w:rPr>
          <w:rFonts w:cs="宋体"/>
          <w:sz w:val="24"/>
        </w:rPr>
      </w:pPr>
      <w:r>
        <w:rPr>
          <w:rFonts w:hint="eastAsia" w:cs="宋体"/>
          <w:sz w:val="24"/>
        </w:rPr>
        <w:t xml:space="preserve">    b.校验设备检定、校准台账；</w:t>
      </w:r>
    </w:p>
    <w:p>
      <w:pPr>
        <w:spacing w:line="500" w:lineRule="exact"/>
        <w:ind w:left="2626" w:hanging="2625" w:hangingChars="1094"/>
        <w:jc w:val="left"/>
        <w:rPr>
          <w:rFonts w:cs="宋体"/>
          <w:sz w:val="24"/>
        </w:rPr>
      </w:pPr>
      <w:r>
        <w:rPr>
          <w:rFonts w:hint="eastAsia" w:cs="宋体"/>
          <w:sz w:val="24"/>
        </w:rPr>
        <w:t xml:space="preserve">    c.有效期内检定、校准证书；</w:t>
      </w:r>
    </w:p>
    <w:p>
      <w:pPr>
        <w:spacing w:line="500" w:lineRule="exact"/>
        <w:ind w:left="2626" w:hanging="2625" w:hangingChars="1094"/>
        <w:jc w:val="left"/>
        <w:rPr>
          <w:rFonts w:ascii="Calibri" w:hAnsi="Calibri" w:cs="宋体"/>
          <w:sz w:val="24"/>
        </w:rPr>
      </w:pPr>
      <w:r>
        <w:rPr>
          <w:rFonts w:hint="eastAsia" w:cs="宋体"/>
          <w:sz w:val="24"/>
        </w:rPr>
        <w:t xml:space="preserve">    d.属于特种设备的使用登记资料、定期检验报告等。</w:t>
      </w:r>
    </w:p>
    <w:p>
      <w:pPr>
        <w:spacing w:line="480" w:lineRule="auto"/>
        <w:outlineLvl w:val="0"/>
        <w:rPr>
          <w:rFonts w:ascii="宋体" w:hAnsi="宋体" w:cs="黑体"/>
          <w:b/>
          <w:sz w:val="24"/>
        </w:rPr>
      </w:pPr>
      <w:r>
        <w:rPr>
          <w:rFonts w:hint="eastAsia" w:cs="宋体"/>
          <w:sz w:val="24"/>
        </w:rPr>
        <w:t>（8）</w:t>
      </w:r>
      <w:r>
        <w:rPr>
          <w:rFonts w:hint="eastAsia" w:ascii="Calibri" w:hAnsi="Calibri" w:cs="宋体"/>
          <w:sz w:val="24"/>
        </w:rPr>
        <w:t>质量手册、程序文件目录。</w:t>
      </w:r>
    </w:p>
    <w:sectPr>
      <w:footerReference r:id="rId7" w:type="default"/>
      <w:pgSz w:w="11906" w:h="16838"/>
      <w:pgMar w:top="1304" w:right="1134" w:bottom="1021" w:left="1588"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0" w:beforeAutospacing="0" w:after="0" w:afterAutospacing="0" w:line="360" w:lineRule="auto"/>
      <w:jc w:val="right"/>
      <w:rPr>
        <w:rFonts w:hAnsi="宋体"/>
        <w:sz w:val="18"/>
        <w:szCs w:val="18"/>
      </w:rPr>
    </w:pPr>
    <w:r>
      <w:pict>
        <v:line id="_x0000_s1041" o:spid="_x0000_s1041" o:spt="20" style="position:absolute;left:0pt;margin-left:0pt;margin-top:11.9pt;height:0pt;width:459pt;z-index:251660288;mso-width-relative:page;mso-height-relative:page;" coordsize="21600,21600">
          <v:path arrowok="t"/>
          <v:fill focussize="0,0"/>
          <v:stroke/>
          <v:imagedata o:title=""/>
          <o:lock v:ext="edit"/>
        </v:line>
      </w:pict>
    </w:r>
  </w:p>
  <w:p>
    <w:pPr>
      <w:pStyle w:val="11"/>
      <w:rPr>
        <w:rFonts w:ascii="宋体" w:hAnsi="宋体"/>
        <w:u w:val="single"/>
      </w:rPr>
    </w:pPr>
    <w:r>
      <w:rPr>
        <w:rFonts w:hint="eastAsia" w:ascii="宋体" w:hAnsi="宋体"/>
      </w:rPr>
      <w:t>2022年12月10日发布                                                            2023年01月01日实施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0" w:beforeAutospacing="0" w:after="0" w:afterAutospacing="0" w:line="360" w:lineRule="auto"/>
      <w:jc w:val="right"/>
      <w:rPr>
        <w:rFonts w:hAnsi="宋体"/>
        <w:sz w:val="18"/>
        <w:szCs w:val="18"/>
      </w:rPr>
    </w:pPr>
    <w:r>
      <w:pict>
        <v:shape id="_x0000_s1045" o:spid="_x0000_s1045" o:spt="202" type="#_x0000_t202" style="position:absolute;left:0pt;margin-left:216.45pt;margin-top:16pt;height:12pt;width:30pt;mso-position-horizontal-relative:margin;z-index:251662336;mso-width-relative:page;mso-height-relative:page;" filled="f" stroked="f" coordsize="21600,21600">
          <v:path/>
          <v:fill on="f" focussize="0,0"/>
          <v:stroke on="f" joinstyle="miter"/>
          <v:imagedata o:title=""/>
          <o:lock v:ext="edit"/>
          <v:textbox inset="0mm,0mm,0mm,0mm" style="mso-fit-shape-to-text:t;">
            <w:txbxContent>
              <w:p>
                <w:pPr>
                  <w:pStyle w:val="11"/>
                  <w:jc w:val="center"/>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p>
            </w:txbxContent>
          </v:textbox>
        </v:shape>
      </w:pict>
    </w:r>
    <w:r>
      <w:pict>
        <v:line id="_x0000_s1046" o:spid="_x0000_s1046" o:spt="20" style="position:absolute;left:0pt;margin-left:0pt;margin-top:11.9pt;height:0pt;width:459pt;z-index:251661312;mso-width-relative:page;mso-height-relative:page;" coordsize="21600,21600">
          <v:path arrowok="t"/>
          <v:fill focussize="0,0"/>
          <v:stroke/>
          <v:imagedata o:title=""/>
          <o:lock v:ext="edit"/>
        </v:line>
      </w:pict>
    </w:r>
  </w:p>
  <w:p>
    <w:pPr>
      <w:pStyle w:val="11"/>
      <w:rPr>
        <w:rFonts w:ascii="宋体" w:hAnsi="宋体"/>
        <w:u w:val="single"/>
      </w:rPr>
    </w:pPr>
    <w:r>
      <w:rPr>
        <w:rFonts w:hint="eastAsia" w:ascii="宋体" w:hAnsi="宋体"/>
      </w:rPr>
      <w:t>2022年12月10日发布                                                            2023年01月01日实施</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0" w:beforeAutospacing="0" w:after="0" w:afterAutospacing="0" w:line="360" w:lineRule="auto"/>
      <w:rPr>
        <w:rFonts w:hAnsi="宋体"/>
        <w:sz w:val="18"/>
        <w:szCs w:val="18"/>
      </w:rPr>
    </w:pPr>
    <w:r>
      <w:rPr>
        <w:rFonts w:hAnsi="宋体"/>
        <w:sz w:val="18"/>
        <w:szCs w:val="18"/>
      </w:rPr>
      <w:pict>
        <v:line id="直线 1029" o:spid="_x0000_s1036" o:spt="20" style="position:absolute;left:0pt;margin-left:0pt;margin-top:22.35pt;height:0pt;width:459pt;z-index:251659264;mso-width-relative:page;mso-height-relative:page;" coordsize="21600,21600">
          <v:path arrowok="t"/>
          <v:fill focussize="0,0"/>
          <v:stroke/>
          <v:imagedata o:title=""/>
          <o:lock v:ext="edit"/>
        </v:line>
      </w:pict>
    </w:r>
    <w:r>
      <w:rPr>
        <w:rFonts w:hint="eastAsia" w:hAnsi="宋体"/>
        <w:sz w:val="18"/>
        <w:szCs w:val="18"/>
      </w:rPr>
      <w:t xml:space="preserve">XTXPS/ZN-FJC-2022                                </w:t>
    </w:r>
    <w:r>
      <w:rPr>
        <w:rFonts w:ascii="华文行楷" w:eastAsia="华文行楷"/>
        <w:sz w:val="21"/>
      </w:rPr>
      <w:drawing>
        <wp:inline distT="0" distB="0" distL="0" distR="0">
          <wp:extent cx="234315" cy="212090"/>
          <wp:effectExtent l="0" t="0" r="9525" b="1270"/>
          <wp:docPr id="1" name="图片 1" descr="e5657a49cace232bfda4816bfeee5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5657a49cace232bfda4816bfeee5ff"/>
                  <pic:cNvPicPr>
                    <a:picLocks noChangeAspect="1" noChangeArrowheads="1"/>
                  </pic:cNvPicPr>
                </pic:nvPicPr>
                <pic:blipFill>
                  <a:blip r:embed="rId1"/>
                  <a:srcRect/>
                  <a:stretch>
                    <a:fillRect/>
                  </a:stretch>
                </pic:blipFill>
                <pic:spPr>
                  <a:xfrm>
                    <a:off x="0" y="0"/>
                    <a:ext cx="234315" cy="212090"/>
                  </a:xfrm>
                  <a:prstGeom prst="rect">
                    <a:avLst/>
                  </a:prstGeom>
                  <a:noFill/>
                  <a:ln w="9525">
                    <a:noFill/>
                    <a:miter lim="800000"/>
                    <a:headEnd/>
                    <a:tailEnd/>
                  </a:ln>
                </pic:spPr>
              </pic:pic>
            </a:graphicData>
          </a:graphic>
        </wp:inline>
      </w:drawing>
    </w:r>
    <w:r>
      <w:rPr>
        <w:rFonts w:hint="eastAsia" w:hAnsi="宋体"/>
        <w:sz w:val="18"/>
        <w:szCs w:val="18"/>
      </w:rPr>
      <w:t xml:space="preserve">                                       </w:t>
    </w:r>
    <w:r>
      <w:rPr>
        <w:rStyle w:val="19"/>
        <w:rFonts w:hint="eastAsia" w:hAnsi="宋体" w:cs="宋体"/>
        <w:bCs/>
        <w:sz w:val="18"/>
        <w:szCs w:val="18"/>
      </w:rPr>
      <w:t>专用指南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yZDIwMzc5NTRjNGFmODI1ZGQ3Yjg4NWVhMjA2MzQifQ=="/>
  </w:docVars>
  <w:rsids>
    <w:rsidRoot w:val="00172A27"/>
    <w:rsid w:val="00001B13"/>
    <w:rsid w:val="00002EA4"/>
    <w:rsid w:val="00003520"/>
    <w:rsid w:val="00003900"/>
    <w:rsid w:val="00003AB4"/>
    <w:rsid w:val="00004273"/>
    <w:rsid w:val="000045ED"/>
    <w:rsid w:val="00004D3F"/>
    <w:rsid w:val="00006A7F"/>
    <w:rsid w:val="00011FF5"/>
    <w:rsid w:val="00012E9B"/>
    <w:rsid w:val="00016C90"/>
    <w:rsid w:val="00022E43"/>
    <w:rsid w:val="0002321A"/>
    <w:rsid w:val="00023EDE"/>
    <w:rsid w:val="00025CAB"/>
    <w:rsid w:val="000263CF"/>
    <w:rsid w:val="00026CDA"/>
    <w:rsid w:val="000278DD"/>
    <w:rsid w:val="00030568"/>
    <w:rsid w:val="000307CA"/>
    <w:rsid w:val="00031B61"/>
    <w:rsid w:val="0003229D"/>
    <w:rsid w:val="0003291C"/>
    <w:rsid w:val="000338A3"/>
    <w:rsid w:val="0003430E"/>
    <w:rsid w:val="000352E5"/>
    <w:rsid w:val="00036143"/>
    <w:rsid w:val="00040F94"/>
    <w:rsid w:val="00044FCB"/>
    <w:rsid w:val="00045CF2"/>
    <w:rsid w:val="00045E4A"/>
    <w:rsid w:val="00046782"/>
    <w:rsid w:val="000471C3"/>
    <w:rsid w:val="00050AF3"/>
    <w:rsid w:val="000522C8"/>
    <w:rsid w:val="00054376"/>
    <w:rsid w:val="00054E73"/>
    <w:rsid w:val="00056F8A"/>
    <w:rsid w:val="00057C87"/>
    <w:rsid w:val="00061BF9"/>
    <w:rsid w:val="00061D52"/>
    <w:rsid w:val="00062110"/>
    <w:rsid w:val="000623F0"/>
    <w:rsid w:val="000653DE"/>
    <w:rsid w:val="0006591C"/>
    <w:rsid w:val="00066AFD"/>
    <w:rsid w:val="000702CC"/>
    <w:rsid w:val="0007043F"/>
    <w:rsid w:val="0007167B"/>
    <w:rsid w:val="00071E6F"/>
    <w:rsid w:val="000722D7"/>
    <w:rsid w:val="00072D18"/>
    <w:rsid w:val="00072DEB"/>
    <w:rsid w:val="000736EE"/>
    <w:rsid w:val="000738C4"/>
    <w:rsid w:val="0007667C"/>
    <w:rsid w:val="00076DB8"/>
    <w:rsid w:val="000775B9"/>
    <w:rsid w:val="000776E8"/>
    <w:rsid w:val="00077BFA"/>
    <w:rsid w:val="000807FB"/>
    <w:rsid w:val="00082AC5"/>
    <w:rsid w:val="00082B74"/>
    <w:rsid w:val="000833E4"/>
    <w:rsid w:val="00083469"/>
    <w:rsid w:val="0008354F"/>
    <w:rsid w:val="00083561"/>
    <w:rsid w:val="00084650"/>
    <w:rsid w:val="00084FD8"/>
    <w:rsid w:val="000851E9"/>
    <w:rsid w:val="00085CAE"/>
    <w:rsid w:val="00086950"/>
    <w:rsid w:val="00086CEA"/>
    <w:rsid w:val="00086F80"/>
    <w:rsid w:val="0009085E"/>
    <w:rsid w:val="00097E10"/>
    <w:rsid w:val="000A14FB"/>
    <w:rsid w:val="000A202E"/>
    <w:rsid w:val="000A2146"/>
    <w:rsid w:val="000A3AA5"/>
    <w:rsid w:val="000A4EE5"/>
    <w:rsid w:val="000A5D84"/>
    <w:rsid w:val="000A61A3"/>
    <w:rsid w:val="000A649B"/>
    <w:rsid w:val="000A68D8"/>
    <w:rsid w:val="000A6C3A"/>
    <w:rsid w:val="000A7928"/>
    <w:rsid w:val="000B105F"/>
    <w:rsid w:val="000B1AC1"/>
    <w:rsid w:val="000B327F"/>
    <w:rsid w:val="000B3555"/>
    <w:rsid w:val="000B566A"/>
    <w:rsid w:val="000B5A28"/>
    <w:rsid w:val="000B6B2A"/>
    <w:rsid w:val="000C0425"/>
    <w:rsid w:val="000C3FB8"/>
    <w:rsid w:val="000C4F45"/>
    <w:rsid w:val="000C4F48"/>
    <w:rsid w:val="000C61A4"/>
    <w:rsid w:val="000C6650"/>
    <w:rsid w:val="000C7D24"/>
    <w:rsid w:val="000C7EA0"/>
    <w:rsid w:val="000D40E8"/>
    <w:rsid w:val="000D45F5"/>
    <w:rsid w:val="000D5649"/>
    <w:rsid w:val="000D6CF2"/>
    <w:rsid w:val="000E36E4"/>
    <w:rsid w:val="000E4C46"/>
    <w:rsid w:val="00102347"/>
    <w:rsid w:val="001023B7"/>
    <w:rsid w:val="00103662"/>
    <w:rsid w:val="001038CD"/>
    <w:rsid w:val="00103927"/>
    <w:rsid w:val="00105602"/>
    <w:rsid w:val="00105CC7"/>
    <w:rsid w:val="00105DEB"/>
    <w:rsid w:val="001061CF"/>
    <w:rsid w:val="001077E5"/>
    <w:rsid w:val="00110DE5"/>
    <w:rsid w:val="00110F8F"/>
    <w:rsid w:val="00110FBB"/>
    <w:rsid w:val="00111195"/>
    <w:rsid w:val="001147EF"/>
    <w:rsid w:val="00114A2D"/>
    <w:rsid w:val="00114B33"/>
    <w:rsid w:val="00116B3E"/>
    <w:rsid w:val="00116B5B"/>
    <w:rsid w:val="001219FC"/>
    <w:rsid w:val="001225E2"/>
    <w:rsid w:val="00123229"/>
    <w:rsid w:val="00125805"/>
    <w:rsid w:val="00125F3A"/>
    <w:rsid w:val="00126492"/>
    <w:rsid w:val="00126794"/>
    <w:rsid w:val="001315FC"/>
    <w:rsid w:val="00131CF7"/>
    <w:rsid w:val="001325E0"/>
    <w:rsid w:val="0013579D"/>
    <w:rsid w:val="0013587C"/>
    <w:rsid w:val="0013671F"/>
    <w:rsid w:val="001372DE"/>
    <w:rsid w:val="00137B7D"/>
    <w:rsid w:val="0014198F"/>
    <w:rsid w:val="00141B05"/>
    <w:rsid w:val="001427A8"/>
    <w:rsid w:val="001427FE"/>
    <w:rsid w:val="001441AC"/>
    <w:rsid w:val="00145208"/>
    <w:rsid w:val="0014621F"/>
    <w:rsid w:val="001502B1"/>
    <w:rsid w:val="00150B10"/>
    <w:rsid w:val="00151533"/>
    <w:rsid w:val="00151689"/>
    <w:rsid w:val="00151D30"/>
    <w:rsid w:val="00151D9D"/>
    <w:rsid w:val="00152A6A"/>
    <w:rsid w:val="00153845"/>
    <w:rsid w:val="00153A9B"/>
    <w:rsid w:val="0015452C"/>
    <w:rsid w:val="001545C3"/>
    <w:rsid w:val="00154916"/>
    <w:rsid w:val="00154FBF"/>
    <w:rsid w:val="00155475"/>
    <w:rsid w:val="001567D2"/>
    <w:rsid w:val="00156E5F"/>
    <w:rsid w:val="00157F94"/>
    <w:rsid w:val="00157FBD"/>
    <w:rsid w:val="001643E8"/>
    <w:rsid w:val="001647C7"/>
    <w:rsid w:val="00166D8E"/>
    <w:rsid w:val="00171831"/>
    <w:rsid w:val="00172285"/>
    <w:rsid w:val="00172608"/>
    <w:rsid w:val="00172736"/>
    <w:rsid w:val="00172A27"/>
    <w:rsid w:val="00172A4E"/>
    <w:rsid w:val="0017300C"/>
    <w:rsid w:val="00174B0A"/>
    <w:rsid w:val="00174CB8"/>
    <w:rsid w:val="00175E7C"/>
    <w:rsid w:val="00175FC2"/>
    <w:rsid w:val="001763B8"/>
    <w:rsid w:val="00176852"/>
    <w:rsid w:val="0018126F"/>
    <w:rsid w:val="00181F19"/>
    <w:rsid w:val="001828B8"/>
    <w:rsid w:val="00182A46"/>
    <w:rsid w:val="001832E5"/>
    <w:rsid w:val="001833CD"/>
    <w:rsid w:val="00183F24"/>
    <w:rsid w:val="00185497"/>
    <w:rsid w:val="0018594D"/>
    <w:rsid w:val="00186BBE"/>
    <w:rsid w:val="00190DB7"/>
    <w:rsid w:val="00192364"/>
    <w:rsid w:val="00195B9C"/>
    <w:rsid w:val="00195DCD"/>
    <w:rsid w:val="00196809"/>
    <w:rsid w:val="00197F83"/>
    <w:rsid w:val="001A09BD"/>
    <w:rsid w:val="001A1863"/>
    <w:rsid w:val="001A1ADA"/>
    <w:rsid w:val="001A1D4B"/>
    <w:rsid w:val="001A2C49"/>
    <w:rsid w:val="001A37A6"/>
    <w:rsid w:val="001B0B90"/>
    <w:rsid w:val="001B1833"/>
    <w:rsid w:val="001B1FA6"/>
    <w:rsid w:val="001B2FA1"/>
    <w:rsid w:val="001B3310"/>
    <w:rsid w:val="001B3CFC"/>
    <w:rsid w:val="001B464D"/>
    <w:rsid w:val="001B539A"/>
    <w:rsid w:val="001B5BCC"/>
    <w:rsid w:val="001B6C88"/>
    <w:rsid w:val="001B73B9"/>
    <w:rsid w:val="001B7D98"/>
    <w:rsid w:val="001C0322"/>
    <w:rsid w:val="001C0E02"/>
    <w:rsid w:val="001C2BE0"/>
    <w:rsid w:val="001C3405"/>
    <w:rsid w:val="001C3C99"/>
    <w:rsid w:val="001C7219"/>
    <w:rsid w:val="001D0269"/>
    <w:rsid w:val="001D06F0"/>
    <w:rsid w:val="001D0C17"/>
    <w:rsid w:val="001D2021"/>
    <w:rsid w:val="001D208D"/>
    <w:rsid w:val="001D2597"/>
    <w:rsid w:val="001D28C7"/>
    <w:rsid w:val="001D2C0A"/>
    <w:rsid w:val="001D3724"/>
    <w:rsid w:val="001D410B"/>
    <w:rsid w:val="001D48B4"/>
    <w:rsid w:val="001D51C4"/>
    <w:rsid w:val="001D5C42"/>
    <w:rsid w:val="001D611C"/>
    <w:rsid w:val="001D6E07"/>
    <w:rsid w:val="001E026A"/>
    <w:rsid w:val="001E08B1"/>
    <w:rsid w:val="001E0A4D"/>
    <w:rsid w:val="001E0D6D"/>
    <w:rsid w:val="001E12F7"/>
    <w:rsid w:val="001E1F5F"/>
    <w:rsid w:val="001E212C"/>
    <w:rsid w:val="001E36EB"/>
    <w:rsid w:val="001E3990"/>
    <w:rsid w:val="001E46BF"/>
    <w:rsid w:val="001E6A20"/>
    <w:rsid w:val="001E7C23"/>
    <w:rsid w:val="001F1003"/>
    <w:rsid w:val="001F1AFA"/>
    <w:rsid w:val="001F2356"/>
    <w:rsid w:val="001F2858"/>
    <w:rsid w:val="001F298A"/>
    <w:rsid w:val="001F359C"/>
    <w:rsid w:val="001F371F"/>
    <w:rsid w:val="001F3770"/>
    <w:rsid w:val="001F57E9"/>
    <w:rsid w:val="001F5B40"/>
    <w:rsid w:val="001F6F21"/>
    <w:rsid w:val="0020012C"/>
    <w:rsid w:val="00202479"/>
    <w:rsid w:val="002025F8"/>
    <w:rsid w:val="0020264F"/>
    <w:rsid w:val="002031DC"/>
    <w:rsid w:val="00203451"/>
    <w:rsid w:val="00203775"/>
    <w:rsid w:val="00203DDC"/>
    <w:rsid w:val="002048ED"/>
    <w:rsid w:val="00206CCD"/>
    <w:rsid w:val="00206DBF"/>
    <w:rsid w:val="00211C89"/>
    <w:rsid w:val="00212182"/>
    <w:rsid w:val="00214AEF"/>
    <w:rsid w:val="00214EA3"/>
    <w:rsid w:val="00215152"/>
    <w:rsid w:val="00216043"/>
    <w:rsid w:val="00217A0B"/>
    <w:rsid w:val="00220E10"/>
    <w:rsid w:val="0022210B"/>
    <w:rsid w:val="00222153"/>
    <w:rsid w:val="0022216B"/>
    <w:rsid w:val="00222338"/>
    <w:rsid w:val="00222E0F"/>
    <w:rsid w:val="0022326E"/>
    <w:rsid w:val="00223306"/>
    <w:rsid w:val="00223555"/>
    <w:rsid w:val="0022434B"/>
    <w:rsid w:val="002249F6"/>
    <w:rsid w:val="00224D96"/>
    <w:rsid w:val="00226B9A"/>
    <w:rsid w:val="0022701E"/>
    <w:rsid w:val="00227EB1"/>
    <w:rsid w:val="00230078"/>
    <w:rsid w:val="002310BE"/>
    <w:rsid w:val="00231AB4"/>
    <w:rsid w:val="00231BB4"/>
    <w:rsid w:val="00232382"/>
    <w:rsid w:val="002328B4"/>
    <w:rsid w:val="00234723"/>
    <w:rsid w:val="00234B3E"/>
    <w:rsid w:val="002373BF"/>
    <w:rsid w:val="00237941"/>
    <w:rsid w:val="0024035C"/>
    <w:rsid w:val="00240DAA"/>
    <w:rsid w:val="002415CF"/>
    <w:rsid w:val="0024187B"/>
    <w:rsid w:val="00241F0C"/>
    <w:rsid w:val="002433FE"/>
    <w:rsid w:val="0024353E"/>
    <w:rsid w:val="002464C8"/>
    <w:rsid w:val="002478A1"/>
    <w:rsid w:val="00250331"/>
    <w:rsid w:val="002510AF"/>
    <w:rsid w:val="00251379"/>
    <w:rsid w:val="00252AD7"/>
    <w:rsid w:val="0025496C"/>
    <w:rsid w:val="00254C9B"/>
    <w:rsid w:val="00257FEA"/>
    <w:rsid w:val="00261824"/>
    <w:rsid w:val="00264813"/>
    <w:rsid w:val="0026551F"/>
    <w:rsid w:val="00265D9F"/>
    <w:rsid w:val="00266444"/>
    <w:rsid w:val="0026756A"/>
    <w:rsid w:val="00267A9F"/>
    <w:rsid w:val="002702FB"/>
    <w:rsid w:val="0027059E"/>
    <w:rsid w:val="0027291D"/>
    <w:rsid w:val="002746B4"/>
    <w:rsid w:val="00274AEC"/>
    <w:rsid w:val="00275685"/>
    <w:rsid w:val="00276137"/>
    <w:rsid w:val="00276FB0"/>
    <w:rsid w:val="0027749A"/>
    <w:rsid w:val="00280EB3"/>
    <w:rsid w:val="00281257"/>
    <w:rsid w:val="00283930"/>
    <w:rsid w:val="00287E73"/>
    <w:rsid w:val="002909BD"/>
    <w:rsid w:val="00291DC4"/>
    <w:rsid w:val="00292FC2"/>
    <w:rsid w:val="00295297"/>
    <w:rsid w:val="002958F2"/>
    <w:rsid w:val="00295C4E"/>
    <w:rsid w:val="002A192E"/>
    <w:rsid w:val="002A1B8A"/>
    <w:rsid w:val="002A37B0"/>
    <w:rsid w:val="002A3869"/>
    <w:rsid w:val="002A4B74"/>
    <w:rsid w:val="002A5DF7"/>
    <w:rsid w:val="002A6061"/>
    <w:rsid w:val="002A7064"/>
    <w:rsid w:val="002A7085"/>
    <w:rsid w:val="002A767D"/>
    <w:rsid w:val="002B0CFD"/>
    <w:rsid w:val="002B1209"/>
    <w:rsid w:val="002B207D"/>
    <w:rsid w:val="002B2CDD"/>
    <w:rsid w:val="002B3ECB"/>
    <w:rsid w:val="002B43D9"/>
    <w:rsid w:val="002B5679"/>
    <w:rsid w:val="002B7193"/>
    <w:rsid w:val="002B74F1"/>
    <w:rsid w:val="002C2628"/>
    <w:rsid w:val="002C332C"/>
    <w:rsid w:val="002C4D08"/>
    <w:rsid w:val="002C65BB"/>
    <w:rsid w:val="002D1221"/>
    <w:rsid w:val="002D2552"/>
    <w:rsid w:val="002D2B92"/>
    <w:rsid w:val="002D3934"/>
    <w:rsid w:val="002D3D06"/>
    <w:rsid w:val="002D43AB"/>
    <w:rsid w:val="002D64F0"/>
    <w:rsid w:val="002D6D51"/>
    <w:rsid w:val="002D7B93"/>
    <w:rsid w:val="002E0348"/>
    <w:rsid w:val="002E0B25"/>
    <w:rsid w:val="002E0B3F"/>
    <w:rsid w:val="002E10B6"/>
    <w:rsid w:val="002E1360"/>
    <w:rsid w:val="002E2398"/>
    <w:rsid w:val="002E2FE1"/>
    <w:rsid w:val="002F0457"/>
    <w:rsid w:val="002F2C34"/>
    <w:rsid w:val="002F30C2"/>
    <w:rsid w:val="002F33C3"/>
    <w:rsid w:val="002F44B0"/>
    <w:rsid w:val="002F56BA"/>
    <w:rsid w:val="002F62EB"/>
    <w:rsid w:val="002F663C"/>
    <w:rsid w:val="002F6E8B"/>
    <w:rsid w:val="002F7E2A"/>
    <w:rsid w:val="0030153E"/>
    <w:rsid w:val="00302D7C"/>
    <w:rsid w:val="00303AB4"/>
    <w:rsid w:val="00303C4C"/>
    <w:rsid w:val="00304DB6"/>
    <w:rsid w:val="00305851"/>
    <w:rsid w:val="00307482"/>
    <w:rsid w:val="003100F7"/>
    <w:rsid w:val="00313348"/>
    <w:rsid w:val="00313CAC"/>
    <w:rsid w:val="0031493B"/>
    <w:rsid w:val="00314F42"/>
    <w:rsid w:val="00315813"/>
    <w:rsid w:val="00315E29"/>
    <w:rsid w:val="00316717"/>
    <w:rsid w:val="00317374"/>
    <w:rsid w:val="00317548"/>
    <w:rsid w:val="00320475"/>
    <w:rsid w:val="0032073D"/>
    <w:rsid w:val="00320F60"/>
    <w:rsid w:val="0032194A"/>
    <w:rsid w:val="00321B1F"/>
    <w:rsid w:val="00322AB1"/>
    <w:rsid w:val="003307E8"/>
    <w:rsid w:val="00332666"/>
    <w:rsid w:val="00335607"/>
    <w:rsid w:val="00335D83"/>
    <w:rsid w:val="00335F63"/>
    <w:rsid w:val="00337830"/>
    <w:rsid w:val="003420A7"/>
    <w:rsid w:val="00343756"/>
    <w:rsid w:val="00343DAA"/>
    <w:rsid w:val="00343EC9"/>
    <w:rsid w:val="0034449E"/>
    <w:rsid w:val="00346F2D"/>
    <w:rsid w:val="0035028E"/>
    <w:rsid w:val="00351581"/>
    <w:rsid w:val="0035326C"/>
    <w:rsid w:val="00353D71"/>
    <w:rsid w:val="00355191"/>
    <w:rsid w:val="00355DD4"/>
    <w:rsid w:val="00357982"/>
    <w:rsid w:val="003603AD"/>
    <w:rsid w:val="00363EAF"/>
    <w:rsid w:val="003652E6"/>
    <w:rsid w:val="00365AF7"/>
    <w:rsid w:val="00367FFE"/>
    <w:rsid w:val="0037263C"/>
    <w:rsid w:val="003754DB"/>
    <w:rsid w:val="00376B0D"/>
    <w:rsid w:val="00377641"/>
    <w:rsid w:val="00380CA1"/>
    <w:rsid w:val="00382B6A"/>
    <w:rsid w:val="00384028"/>
    <w:rsid w:val="003848B5"/>
    <w:rsid w:val="00384906"/>
    <w:rsid w:val="00386090"/>
    <w:rsid w:val="00386B05"/>
    <w:rsid w:val="00387B76"/>
    <w:rsid w:val="00387DB3"/>
    <w:rsid w:val="003919AD"/>
    <w:rsid w:val="0039452D"/>
    <w:rsid w:val="00395306"/>
    <w:rsid w:val="00395870"/>
    <w:rsid w:val="00395F84"/>
    <w:rsid w:val="00396C35"/>
    <w:rsid w:val="003A172C"/>
    <w:rsid w:val="003A2626"/>
    <w:rsid w:val="003A30E1"/>
    <w:rsid w:val="003A4AD3"/>
    <w:rsid w:val="003A590C"/>
    <w:rsid w:val="003B06EA"/>
    <w:rsid w:val="003B2F6E"/>
    <w:rsid w:val="003B37CB"/>
    <w:rsid w:val="003B484B"/>
    <w:rsid w:val="003B75BD"/>
    <w:rsid w:val="003C462E"/>
    <w:rsid w:val="003C475D"/>
    <w:rsid w:val="003C5176"/>
    <w:rsid w:val="003C565A"/>
    <w:rsid w:val="003C71E9"/>
    <w:rsid w:val="003D0429"/>
    <w:rsid w:val="003D18E9"/>
    <w:rsid w:val="003D2AC4"/>
    <w:rsid w:val="003D2D5F"/>
    <w:rsid w:val="003D3616"/>
    <w:rsid w:val="003D5A58"/>
    <w:rsid w:val="003D670E"/>
    <w:rsid w:val="003D7376"/>
    <w:rsid w:val="003D7B7A"/>
    <w:rsid w:val="003D7C13"/>
    <w:rsid w:val="003D7CBC"/>
    <w:rsid w:val="003E1933"/>
    <w:rsid w:val="003E1BAF"/>
    <w:rsid w:val="003E1D96"/>
    <w:rsid w:val="003E1E55"/>
    <w:rsid w:val="003E2A32"/>
    <w:rsid w:val="003E32D2"/>
    <w:rsid w:val="003E3759"/>
    <w:rsid w:val="003E4DB8"/>
    <w:rsid w:val="003E4E18"/>
    <w:rsid w:val="003E5521"/>
    <w:rsid w:val="003E5B66"/>
    <w:rsid w:val="003E654D"/>
    <w:rsid w:val="003E7363"/>
    <w:rsid w:val="003F0A56"/>
    <w:rsid w:val="003F0F06"/>
    <w:rsid w:val="003F16A9"/>
    <w:rsid w:val="003F1776"/>
    <w:rsid w:val="003F2027"/>
    <w:rsid w:val="003F4ADD"/>
    <w:rsid w:val="003F564A"/>
    <w:rsid w:val="00401916"/>
    <w:rsid w:val="00401A0B"/>
    <w:rsid w:val="0040477A"/>
    <w:rsid w:val="00404781"/>
    <w:rsid w:val="00406AAD"/>
    <w:rsid w:val="00407667"/>
    <w:rsid w:val="00407CA7"/>
    <w:rsid w:val="0041092A"/>
    <w:rsid w:val="0041096A"/>
    <w:rsid w:val="004109B8"/>
    <w:rsid w:val="00411087"/>
    <w:rsid w:val="004113A3"/>
    <w:rsid w:val="0041352A"/>
    <w:rsid w:val="0041377A"/>
    <w:rsid w:val="00414131"/>
    <w:rsid w:val="00414407"/>
    <w:rsid w:val="004144CF"/>
    <w:rsid w:val="00415085"/>
    <w:rsid w:val="00416C7F"/>
    <w:rsid w:val="00417207"/>
    <w:rsid w:val="004174CF"/>
    <w:rsid w:val="00417BBF"/>
    <w:rsid w:val="00422006"/>
    <w:rsid w:val="00422FA1"/>
    <w:rsid w:val="0042484F"/>
    <w:rsid w:val="00426404"/>
    <w:rsid w:val="00426EF5"/>
    <w:rsid w:val="00427C29"/>
    <w:rsid w:val="004309D3"/>
    <w:rsid w:val="00434E12"/>
    <w:rsid w:val="00435D04"/>
    <w:rsid w:val="00436E1D"/>
    <w:rsid w:val="0043786F"/>
    <w:rsid w:val="0044007A"/>
    <w:rsid w:val="004404D4"/>
    <w:rsid w:val="00443363"/>
    <w:rsid w:val="00443C50"/>
    <w:rsid w:val="00444097"/>
    <w:rsid w:val="00444643"/>
    <w:rsid w:val="00444F0A"/>
    <w:rsid w:val="00447464"/>
    <w:rsid w:val="00447A18"/>
    <w:rsid w:val="00447A7A"/>
    <w:rsid w:val="004508D7"/>
    <w:rsid w:val="00450CDB"/>
    <w:rsid w:val="004524FE"/>
    <w:rsid w:val="00452DE7"/>
    <w:rsid w:val="004534BB"/>
    <w:rsid w:val="004537EE"/>
    <w:rsid w:val="00453C41"/>
    <w:rsid w:val="00453D05"/>
    <w:rsid w:val="004547DA"/>
    <w:rsid w:val="0045662E"/>
    <w:rsid w:val="00461361"/>
    <w:rsid w:val="00461A68"/>
    <w:rsid w:val="004636A9"/>
    <w:rsid w:val="00464F97"/>
    <w:rsid w:val="0046771F"/>
    <w:rsid w:val="00472EBA"/>
    <w:rsid w:val="00473289"/>
    <w:rsid w:val="00474298"/>
    <w:rsid w:val="00474488"/>
    <w:rsid w:val="0047586A"/>
    <w:rsid w:val="00475D36"/>
    <w:rsid w:val="00480B39"/>
    <w:rsid w:val="0048111F"/>
    <w:rsid w:val="00481E2A"/>
    <w:rsid w:val="004825FD"/>
    <w:rsid w:val="00482D3C"/>
    <w:rsid w:val="00483351"/>
    <w:rsid w:val="00483860"/>
    <w:rsid w:val="004848CA"/>
    <w:rsid w:val="00484D52"/>
    <w:rsid w:val="004858F0"/>
    <w:rsid w:val="00486B42"/>
    <w:rsid w:val="00487309"/>
    <w:rsid w:val="00492A0C"/>
    <w:rsid w:val="00494693"/>
    <w:rsid w:val="004A04F4"/>
    <w:rsid w:val="004A1396"/>
    <w:rsid w:val="004A39AA"/>
    <w:rsid w:val="004A4A80"/>
    <w:rsid w:val="004A63F4"/>
    <w:rsid w:val="004A6933"/>
    <w:rsid w:val="004B0719"/>
    <w:rsid w:val="004B0E3B"/>
    <w:rsid w:val="004B1660"/>
    <w:rsid w:val="004B3100"/>
    <w:rsid w:val="004B32EE"/>
    <w:rsid w:val="004B3912"/>
    <w:rsid w:val="004B556D"/>
    <w:rsid w:val="004B5E69"/>
    <w:rsid w:val="004B6733"/>
    <w:rsid w:val="004B684C"/>
    <w:rsid w:val="004B716D"/>
    <w:rsid w:val="004C0358"/>
    <w:rsid w:val="004C0D35"/>
    <w:rsid w:val="004C2CE0"/>
    <w:rsid w:val="004C2CEE"/>
    <w:rsid w:val="004C401C"/>
    <w:rsid w:val="004C4D29"/>
    <w:rsid w:val="004C51AE"/>
    <w:rsid w:val="004C601B"/>
    <w:rsid w:val="004C746B"/>
    <w:rsid w:val="004C7969"/>
    <w:rsid w:val="004D013C"/>
    <w:rsid w:val="004D2CDB"/>
    <w:rsid w:val="004D4301"/>
    <w:rsid w:val="004D4CF1"/>
    <w:rsid w:val="004D5A94"/>
    <w:rsid w:val="004D70B9"/>
    <w:rsid w:val="004E04C5"/>
    <w:rsid w:val="004E164C"/>
    <w:rsid w:val="004E233E"/>
    <w:rsid w:val="004E2697"/>
    <w:rsid w:val="004E50F6"/>
    <w:rsid w:val="004E5AE2"/>
    <w:rsid w:val="004E6065"/>
    <w:rsid w:val="004F00C0"/>
    <w:rsid w:val="004F09EC"/>
    <w:rsid w:val="004F0ADE"/>
    <w:rsid w:val="004F1994"/>
    <w:rsid w:val="004F1F4B"/>
    <w:rsid w:val="004F2C71"/>
    <w:rsid w:val="004F3DF0"/>
    <w:rsid w:val="004F42EF"/>
    <w:rsid w:val="004F6594"/>
    <w:rsid w:val="004F685F"/>
    <w:rsid w:val="005004D8"/>
    <w:rsid w:val="00501C82"/>
    <w:rsid w:val="00501F9A"/>
    <w:rsid w:val="00502D70"/>
    <w:rsid w:val="0050449B"/>
    <w:rsid w:val="00510099"/>
    <w:rsid w:val="00511835"/>
    <w:rsid w:val="00511BC4"/>
    <w:rsid w:val="005126EE"/>
    <w:rsid w:val="005128DA"/>
    <w:rsid w:val="00512FCB"/>
    <w:rsid w:val="00520D6E"/>
    <w:rsid w:val="0052378F"/>
    <w:rsid w:val="00523A20"/>
    <w:rsid w:val="00524540"/>
    <w:rsid w:val="00524F0B"/>
    <w:rsid w:val="005257FA"/>
    <w:rsid w:val="00530232"/>
    <w:rsid w:val="0053254E"/>
    <w:rsid w:val="0053374B"/>
    <w:rsid w:val="00533F85"/>
    <w:rsid w:val="00536A41"/>
    <w:rsid w:val="00536E59"/>
    <w:rsid w:val="00540909"/>
    <w:rsid w:val="00540AE8"/>
    <w:rsid w:val="005421E9"/>
    <w:rsid w:val="00542DF3"/>
    <w:rsid w:val="00543337"/>
    <w:rsid w:val="00544AE4"/>
    <w:rsid w:val="00544BA0"/>
    <w:rsid w:val="00546D1B"/>
    <w:rsid w:val="00547605"/>
    <w:rsid w:val="0055026B"/>
    <w:rsid w:val="005508ED"/>
    <w:rsid w:val="00551338"/>
    <w:rsid w:val="00551BD9"/>
    <w:rsid w:val="00554672"/>
    <w:rsid w:val="00554BE0"/>
    <w:rsid w:val="005563A4"/>
    <w:rsid w:val="005575B5"/>
    <w:rsid w:val="00557F40"/>
    <w:rsid w:val="005601AD"/>
    <w:rsid w:val="0056234C"/>
    <w:rsid w:val="005660DF"/>
    <w:rsid w:val="00570538"/>
    <w:rsid w:val="00571BAD"/>
    <w:rsid w:val="00572038"/>
    <w:rsid w:val="0057398C"/>
    <w:rsid w:val="0057421F"/>
    <w:rsid w:val="005744D6"/>
    <w:rsid w:val="0057463B"/>
    <w:rsid w:val="0057469D"/>
    <w:rsid w:val="00574977"/>
    <w:rsid w:val="00575839"/>
    <w:rsid w:val="00575B87"/>
    <w:rsid w:val="00575FC9"/>
    <w:rsid w:val="00577146"/>
    <w:rsid w:val="005823A9"/>
    <w:rsid w:val="00582834"/>
    <w:rsid w:val="00582A45"/>
    <w:rsid w:val="0058469A"/>
    <w:rsid w:val="005854E3"/>
    <w:rsid w:val="0058592F"/>
    <w:rsid w:val="00590069"/>
    <w:rsid w:val="00590842"/>
    <w:rsid w:val="00591161"/>
    <w:rsid w:val="00591607"/>
    <w:rsid w:val="005916C6"/>
    <w:rsid w:val="00592343"/>
    <w:rsid w:val="00592563"/>
    <w:rsid w:val="0059264D"/>
    <w:rsid w:val="00592A6E"/>
    <w:rsid w:val="00593ECD"/>
    <w:rsid w:val="00593EF1"/>
    <w:rsid w:val="00593F25"/>
    <w:rsid w:val="00594577"/>
    <w:rsid w:val="005950B0"/>
    <w:rsid w:val="0059588B"/>
    <w:rsid w:val="00596362"/>
    <w:rsid w:val="005A00AB"/>
    <w:rsid w:val="005A08BC"/>
    <w:rsid w:val="005A0C5D"/>
    <w:rsid w:val="005A1ABB"/>
    <w:rsid w:val="005A1C37"/>
    <w:rsid w:val="005A2148"/>
    <w:rsid w:val="005A4583"/>
    <w:rsid w:val="005A72FA"/>
    <w:rsid w:val="005B15E8"/>
    <w:rsid w:val="005B3819"/>
    <w:rsid w:val="005B3AA8"/>
    <w:rsid w:val="005B3F4C"/>
    <w:rsid w:val="005B4176"/>
    <w:rsid w:val="005B5025"/>
    <w:rsid w:val="005B5721"/>
    <w:rsid w:val="005B7434"/>
    <w:rsid w:val="005B750C"/>
    <w:rsid w:val="005B7A0D"/>
    <w:rsid w:val="005C06C5"/>
    <w:rsid w:val="005C37DE"/>
    <w:rsid w:val="005C39DE"/>
    <w:rsid w:val="005C3B0B"/>
    <w:rsid w:val="005C5E36"/>
    <w:rsid w:val="005C7188"/>
    <w:rsid w:val="005D07D6"/>
    <w:rsid w:val="005D157F"/>
    <w:rsid w:val="005D3554"/>
    <w:rsid w:val="005D3BB4"/>
    <w:rsid w:val="005D3F2C"/>
    <w:rsid w:val="005D45DB"/>
    <w:rsid w:val="005D6EA3"/>
    <w:rsid w:val="005E0BFB"/>
    <w:rsid w:val="005E1ED3"/>
    <w:rsid w:val="005E23A6"/>
    <w:rsid w:val="005E45EC"/>
    <w:rsid w:val="005E4BB6"/>
    <w:rsid w:val="005F0241"/>
    <w:rsid w:val="005F0B40"/>
    <w:rsid w:val="005F0C7B"/>
    <w:rsid w:val="005F10E2"/>
    <w:rsid w:val="005F18B4"/>
    <w:rsid w:val="005F2A62"/>
    <w:rsid w:val="005F36DF"/>
    <w:rsid w:val="005F3970"/>
    <w:rsid w:val="005F5FE0"/>
    <w:rsid w:val="006004CB"/>
    <w:rsid w:val="00600537"/>
    <w:rsid w:val="00600DB9"/>
    <w:rsid w:val="00603243"/>
    <w:rsid w:val="0060456C"/>
    <w:rsid w:val="00606927"/>
    <w:rsid w:val="006073CC"/>
    <w:rsid w:val="0061022F"/>
    <w:rsid w:val="006108DD"/>
    <w:rsid w:val="00610B7D"/>
    <w:rsid w:val="00610EDE"/>
    <w:rsid w:val="00612169"/>
    <w:rsid w:val="00612749"/>
    <w:rsid w:val="006132D1"/>
    <w:rsid w:val="00614FBC"/>
    <w:rsid w:val="006170AF"/>
    <w:rsid w:val="00617A72"/>
    <w:rsid w:val="006205CF"/>
    <w:rsid w:val="00622659"/>
    <w:rsid w:val="006227EB"/>
    <w:rsid w:val="006229AC"/>
    <w:rsid w:val="00627935"/>
    <w:rsid w:val="00630020"/>
    <w:rsid w:val="00630FDA"/>
    <w:rsid w:val="006330E5"/>
    <w:rsid w:val="00633ED6"/>
    <w:rsid w:val="00634E7D"/>
    <w:rsid w:val="00635A90"/>
    <w:rsid w:val="00637248"/>
    <w:rsid w:val="0063767F"/>
    <w:rsid w:val="0063788C"/>
    <w:rsid w:val="00640A53"/>
    <w:rsid w:val="006414FB"/>
    <w:rsid w:val="0064178A"/>
    <w:rsid w:val="00642BD2"/>
    <w:rsid w:val="0064412B"/>
    <w:rsid w:val="00644FCD"/>
    <w:rsid w:val="0064519E"/>
    <w:rsid w:val="00645A4A"/>
    <w:rsid w:val="00646046"/>
    <w:rsid w:val="00647417"/>
    <w:rsid w:val="006476B8"/>
    <w:rsid w:val="006479C9"/>
    <w:rsid w:val="00650A64"/>
    <w:rsid w:val="006511E5"/>
    <w:rsid w:val="00652863"/>
    <w:rsid w:val="006547EC"/>
    <w:rsid w:val="00655D9B"/>
    <w:rsid w:val="006576FC"/>
    <w:rsid w:val="006578A6"/>
    <w:rsid w:val="00661B94"/>
    <w:rsid w:val="006632E6"/>
    <w:rsid w:val="00664886"/>
    <w:rsid w:val="00664F13"/>
    <w:rsid w:val="006655FC"/>
    <w:rsid w:val="00665608"/>
    <w:rsid w:val="00665894"/>
    <w:rsid w:val="00665AA0"/>
    <w:rsid w:val="0066627B"/>
    <w:rsid w:val="006701D3"/>
    <w:rsid w:val="006708D4"/>
    <w:rsid w:val="00672381"/>
    <w:rsid w:val="00672883"/>
    <w:rsid w:val="00674A45"/>
    <w:rsid w:val="006771B1"/>
    <w:rsid w:val="00677B0E"/>
    <w:rsid w:val="0068035E"/>
    <w:rsid w:val="00680592"/>
    <w:rsid w:val="006808CD"/>
    <w:rsid w:val="00680CA7"/>
    <w:rsid w:val="0068127E"/>
    <w:rsid w:val="006818C9"/>
    <w:rsid w:val="00684795"/>
    <w:rsid w:val="00684B22"/>
    <w:rsid w:val="00684F5B"/>
    <w:rsid w:val="00685334"/>
    <w:rsid w:val="0068746D"/>
    <w:rsid w:val="0069137D"/>
    <w:rsid w:val="006916D6"/>
    <w:rsid w:val="00691E45"/>
    <w:rsid w:val="006929FC"/>
    <w:rsid w:val="006942F9"/>
    <w:rsid w:val="006944FF"/>
    <w:rsid w:val="00695DC2"/>
    <w:rsid w:val="00696D55"/>
    <w:rsid w:val="00697797"/>
    <w:rsid w:val="006979BF"/>
    <w:rsid w:val="006A06A7"/>
    <w:rsid w:val="006A0B94"/>
    <w:rsid w:val="006A1F84"/>
    <w:rsid w:val="006A2B3C"/>
    <w:rsid w:val="006A51A0"/>
    <w:rsid w:val="006A5D29"/>
    <w:rsid w:val="006A7327"/>
    <w:rsid w:val="006B044D"/>
    <w:rsid w:val="006B07EA"/>
    <w:rsid w:val="006B11E9"/>
    <w:rsid w:val="006B1FCE"/>
    <w:rsid w:val="006B24C7"/>
    <w:rsid w:val="006B29B9"/>
    <w:rsid w:val="006B2D98"/>
    <w:rsid w:val="006B6733"/>
    <w:rsid w:val="006B7778"/>
    <w:rsid w:val="006B7FCF"/>
    <w:rsid w:val="006C029C"/>
    <w:rsid w:val="006C0B62"/>
    <w:rsid w:val="006C14B5"/>
    <w:rsid w:val="006C305C"/>
    <w:rsid w:val="006C3491"/>
    <w:rsid w:val="006C39F5"/>
    <w:rsid w:val="006C3A44"/>
    <w:rsid w:val="006C4747"/>
    <w:rsid w:val="006C4DA1"/>
    <w:rsid w:val="006C6260"/>
    <w:rsid w:val="006C7442"/>
    <w:rsid w:val="006D00C6"/>
    <w:rsid w:val="006D07B6"/>
    <w:rsid w:val="006D3268"/>
    <w:rsid w:val="006D483E"/>
    <w:rsid w:val="006D585A"/>
    <w:rsid w:val="006D705C"/>
    <w:rsid w:val="006E1BE2"/>
    <w:rsid w:val="006E1D48"/>
    <w:rsid w:val="006E2382"/>
    <w:rsid w:val="006E4CAC"/>
    <w:rsid w:val="006E59D6"/>
    <w:rsid w:val="006E5EE8"/>
    <w:rsid w:val="006E6AAF"/>
    <w:rsid w:val="006E6BBB"/>
    <w:rsid w:val="006F05E0"/>
    <w:rsid w:val="006F1370"/>
    <w:rsid w:val="006F1501"/>
    <w:rsid w:val="006F223A"/>
    <w:rsid w:val="006F2939"/>
    <w:rsid w:val="006F3820"/>
    <w:rsid w:val="00703596"/>
    <w:rsid w:val="007037EB"/>
    <w:rsid w:val="0070566F"/>
    <w:rsid w:val="007057C6"/>
    <w:rsid w:val="00705C84"/>
    <w:rsid w:val="00705D76"/>
    <w:rsid w:val="00706877"/>
    <w:rsid w:val="00707D19"/>
    <w:rsid w:val="007105E5"/>
    <w:rsid w:val="00710E33"/>
    <w:rsid w:val="00710FDA"/>
    <w:rsid w:val="00713ADE"/>
    <w:rsid w:val="007145AA"/>
    <w:rsid w:val="00714AD4"/>
    <w:rsid w:val="00714DF0"/>
    <w:rsid w:val="00714EB0"/>
    <w:rsid w:val="00715381"/>
    <w:rsid w:val="00715B4F"/>
    <w:rsid w:val="00715E63"/>
    <w:rsid w:val="00716079"/>
    <w:rsid w:val="00716C5F"/>
    <w:rsid w:val="007172B5"/>
    <w:rsid w:val="007226BD"/>
    <w:rsid w:val="00723236"/>
    <w:rsid w:val="0072371E"/>
    <w:rsid w:val="0072414D"/>
    <w:rsid w:val="00727694"/>
    <w:rsid w:val="00732661"/>
    <w:rsid w:val="00733B22"/>
    <w:rsid w:val="00733E8E"/>
    <w:rsid w:val="00735887"/>
    <w:rsid w:val="007374AE"/>
    <w:rsid w:val="00737511"/>
    <w:rsid w:val="00740058"/>
    <w:rsid w:val="007409EE"/>
    <w:rsid w:val="0074132E"/>
    <w:rsid w:val="00742066"/>
    <w:rsid w:val="007438B4"/>
    <w:rsid w:val="00744C81"/>
    <w:rsid w:val="00751BF9"/>
    <w:rsid w:val="00754B91"/>
    <w:rsid w:val="007556D6"/>
    <w:rsid w:val="00757F7E"/>
    <w:rsid w:val="00760FF9"/>
    <w:rsid w:val="00761244"/>
    <w:rsid w:val="00762091"/>
    <w:rsid w:val="00762287"/>
    <w:rsid w:val="00762485"/>
    <w:rsid w:val="0076522A"/>
    <w:rsid w:val="00765615"/>
    <w:rsid w:val="00765A35"/>
    <w:rsid w:val="00765FBA"/>
    <w:rsid w:val="00766219"/>
    <w:rsid w:val="0076669A"/>
    <w:rsid w:val="0076674B"/>
    <w:rsid w:val="00766C3F"/>
    <w:rsid w:val="007706BD"/>
    <w:rsid w:val="007724CE"/>
    <w:rsid w:val="007743DA"/>
    <w:rsid w:val="007748AB"/>
    <w:rsid w:val="00777186"/>
    <w:rsid w:val="0077755D"/>
    <w:rsid w:val="007775B4"/>
    <w:rsid w:val="00781405"/>
    <w:rsid w:val="007824BB"/>
    <w:rsid w:val="0078261B"/>
    <w:rsid w:val="00784BA6"/>
    <w:rsid w:val="00785B95"/>
    <w:rsid w:val="00785EC0"/>
    <w:rsid w:val="00787EF7"/>
    <w:rsid w:val="00791A27"/>
    <w:rsid w:val="0079342B"/>
    <w:rsid w:val="00794AD8"/>
    <w:rsid w:val="00794C7A"/>
    <w:rsid w:val="00794E77"/>
    <w:rsid w:val="0079775D"/>
    <w:rsid w:val="007A40A1"/>
    <w:rsid w:val="007A4819"/>
    <w:rsid w:val="007A50D8"/>
    <w:rsid w:val="007A528E"/>
    <w:rsid w:val="007A69CB"/>
    <w:rsid w:val="007A7844"/>
    <w:rsid w:val="007B0CE1"/>
    <w:rsid w:val="007B20E7"/>
    <w:rsid w:val="007B5119"/>
    <w:rsid w:val="007B662A"/>
    <w:rsid w:val="007B7B0E"/>
    <w:rsid w:val="007C0363"/>
    <w:rsid w:val="007C07FF"/>
    <w:rsid w:val="007C1BB5"/>
    <w:rsid w:val="007C2B29"/>
    <w:rsid w:val="007C2E04"/>
    <w:rsid w:val="007C47E1"/>
    <w:rsid w:val="007C5E07"/>
    <w:rsid w:val="007C624F"/>
    <w:rsid w:val="007C660F"/>
    <w:rsid w:val="007C6D17"/>
    <w:rsid w:val="007C7611"/>
    <w:rsid w:val="007C7AB7"/>
    <w:rsid w:val="007D06B6"/>
    <w:rsid w:val="007D33E7"/>
    <w:rsid w:val="007D4E7D"/>
    <w:rsid w:val="007D4FEB"/>
    <w:rsid w:val="007D5A1C"/>
    <w:rsid w:val="007D70B2"/>
    <w:rsid w:val="007E172C"/>
    <w:rsid w:val="007E37A6"/>
    <w:rsid w:val="007E424F"/>
    <w:rsid w:val="007E43EF"/>
    <w:rsid w:val="007E4F4C"/>
    <w:rsid w:val="007E50AF"/>
    <w:rsid w:val="007E57BD"/>
    <w:rsid w:val="007E610C"/>
    <w:rsid w:val="007E755B"/>
    <w:rsid w:val="007E7C92"/>
    <w:rsid w:val="007F06BD"/>
    <w:rsid w:val="007F22F5"/>
    <w:rsid w:val="007F23AF"/>
    <w:rsid w:val="007F2C24"/>
    <w:rsid w:val="007F380B"/>
    <w:rsid w:val="0080022D"/>
    <w:rsid w:val="008012DD"/>
    <w:rsid w:val="008033A6"/>
    <w:rsid w:val="008060F1"/>
    <w:rsid w:val="008073DE"/>
    <w:rsid w:val="0080779D"/>
    <w:rsid w:val="00807BE3"/>
    <w:rsid w:val="008108AD"/>
    <w:rsid w:val="00810B5A"/>
    <w:rsid w:val="00813C5C"/>
    <w:rsid w:val="00813CE2"/>
    <w:rsid w:val="00814255"/>
    <w:rsid w:val="008146D3"/>
    <w:rsid w:val="00815669"/>
    <w:rsid w:val="008167B5"/>
    <w:rsid w:val="0081721E"/>
    <w:rsid w:val="00822764"/>
    <w:rsid w:val="00822B31"/>
    <w:rsid w:val="008240FA"/>
    <w:rsid w:val="00825C91"/>
    <w:rsid w:val="008273A8"/>
    <w:rsid w:val="00827490"/>
    <w:rsid w:val="0083060A"/>
    <w:rsid w:val="008316FD"/>
    <w:rsid w:val="00831714"/>
    <w:rsid w:val="00832262"/>
    <w:rsid w:val="008351F4"/>
    <w:rsid w:val="008374D9"/>
    <w:rsid w:val="00837BBF"/>
    <w:rsid w:val="00837DB4"/>
    <w:rsid w:val="008401CB"/>
    <w:rsid w:val="008427CD"/>
    <w:rsid w:val="00842852"/>
    <w:rsid w:val="0084294C"/>
    <w:rsid w:val="00842D28"/>
    <w:rsid w:val="008448E8"/>
    <w:rsid w:val="0084543A"/>
    <w:rsid w:val="008454CC"/>
    <w:rsid w:val="008510BF"/>
    <w:rsid w:val="00852353"/>
    <w:rsid w:val="00853367"/>
    <w:rsid w:val="00853FB0"/>
    <w:rsid w:val="0085480C"/>
    <w:rsid w:val="0085486A"/>
    <w:rsid w:val="0085494A"/>
    <w:rsid w:val="008551E5"/>
    <w:rsid w:val="0085530C"/>
    <w:rsid w:val="00857021"/>
    <w:rsid w:val="00857288"/>
    <w:rsid w:val="00860761"/>
    <w:rsid w:val="008616A2"/>
    <w:rsid w:val="008618B1"/>
    <w:rsid w:val="00862646"/>
    <w:rsid w:val="00862C0A"/>
    <w:rsid w:val="008650FE"/>
    <w:rsid w:val="00866CE1"/>
    <w:rsid w:val="0086724B"/>
    <w:rsid w:val="00867485"/>
    <w:rsid w:val="00867E43"/>
    <w:rsid w:val="00867FC7"/>
    <w:rsid w:val="00870561"/>
    <w:rsid w:val="00870EA0"/>
    <w:rsid w:val="008717D9"/>
    <w:rsid w:val="00872317"/>
    <w:rsid w:val="00872411"/>
    <w:rsid w:val="008733B6"/>
    <w:rsid w:val="0087346B"/>
    <w:rsid w:val="008734EC"/>
    <w:rsid w:val="00874CC8"/>
    <w:rsid w:val="00875520"/>
    <w:rsid w:val="00875882"/>
    <w:rsid w:val="008767BB"/>
    <w:rsid w:val="00877DBF"/>
    <w:rsid w:val="00877EF7"/>
    <w:rsid w:val="00877EFB"/>
    <w:rsid w:val="00881906"/>
    <w:rsid w:val="00884200"/>
    <w:rsid w:val="008848A7"/>
    <w:rsid w:val="008851CA"/>
    <w:rsid w:val="008858DD"/>
    <w:rsid w:val="008864AE"/>
    <w:rsid w:val="008929D5"/>
    <w:rsid w:val="0089335B"/>
    <w:rsid w:val="0089400B"/>
    <w:rsid w:val="00896AFE"/>
    <w:rsid w:val="008A0094"/>
    <w:rsid w:val="008A1DDD"/>
    <w:rsid w:val="008A40D4"/>
    <w:rsid w:val="008A56C5"/>
    <w:rsid w:val="008A643C"/>
    <w:rsid w:val="008A6980"/>
    <w:rsid w:val="008A6A3F"/>
    <w:rsid w:val="008A78E9"/>
    <w:rsid w:val="008B0E84"/>
    <w:rsid w:val="008B3903"/>
    <w:rsid w:val="008B3E04"/>
    <w:rsid w:val="008B477F"/>
    <w:rsid w:val="008B5085"/>
    <w:rsid w:val="008B5478"/>
    <w:rsid w:val="008B6B70"/>
    <w:rsid w:val="008C005D"/>
    <w:rsid w:val="008C01FD"/>
    <w:rsid w:val="008C0EDC"/>
    <w:rsid w:val="008C234C"/>
    <w:rsid w:val="008C255F"/>
    <w:rsid w:val="008D095B"/>
    <w:rsid w:val="008D170D"/>
    <w:rsid w:val="008D2171"/>
    <w:rsid w:val="008D306E"/>
    <w:rsid w:val="008D3E2C"/>
    <w:rsid w:val="008D4AC1"/>
    <w:rsid w:val="008D6B59"/>
    <w:rsid w:val="008D6F58"/>
    <w:rsid w:val="008E23D5"/>
    <w:rsid w:val="008E283B"/>
    <w:rsid w:val="008E3013"/>
    <w:rsid w:val="008E321F"/>
    <w:rsid w:val="008E4BF7"/>
    <w:rsid w:val="008E76A1"/>
    <w:rsid w:val="008E7C7D"/>
    <w:rsid w:val="008F1002"/>
    <w:rsid w:val="008F10C4"/>
    <w:rsid w:val="008F47A2"/>
    <w:rsid w:val="008F723E"/>
    <w:rsid w:val="009019F6"/>
    <w:rsid w:val="00901AF1"/>
    <w:rsid w:val="009020B9"/>
    <w:rsid w:val="00902186"/>
    <w:rsid w:val="0090306B"/>
    <w:rsid w:val="00903813"/>
    <w:rsid w:val="009053B1"/>
    <w:rsid w:val="00905644"/>
    <w:rsid w:val="00905AF8"/>
    <w:rsid w:val="00906AA8"/>
    <w:rsid w:val="00907529"/>
    <w:rsid w:val="00907D99"/>
    <w:rsid w:val="00911062"/>
    <w:rsid w:val="009114C6"/>
    <w:rsid w:val="00911500"/>
    <w:rsid w:val="009119BB"/>
    <w:rsid w:val="00912507"/>
    <w:rsid w:val="009131B3"/>
    <w:rsid w:val="00914074"/>
    <w:rsid w:val="00914438"/>
    <w:rsid w:val="009144D9"/>
    <w:rsid w:val="00916A65"/>
    <w:rsid w:val="00916A7F"/>
    <w:rsid w:val="009177FA"/>
    <w:rsid w:val="00917F6A"/>
    <w:rsid w:val="00920076"/>
    <w:rsid w:val="009231D0"/>
    <w:rsid w:val="009239CB"/>
    <w:rsid w:val="00923BE3"/>
    <w:rsid w:val="009252CC"/>
    <w:rsid w:val="00925953"/>
    <w:rsid w:val="00925AAD"/>
    <w:rsid w:val="00926A21"/>
    <w:rsid w:val="00927F4C"/>
    <w:rsid w:val="00931100"/>
    <w:rsid w:val="0093115D"/>
    <w:rsid w:val="00931E7D"/>
    <w:rsid w:val="00933A5F"/>
    <w:rsid w:val="0093498D"/>
    <w:rsid w:val="00936408"/>
    <w:rsid w:val="00936B8E"/>
    <w:rsid w:val="00937B28"/>
    <w:rsid w:val="00941330"/>
    <w:rsid w:val="009441CE"/>
    <w:rsid w:val="009461E7"/>
    <w:rsid w:val="00946410"/>
    <w:rsid w:val="00946CC3"/>
    <w:rsid w:val="00947ADE"/>
    <w:rsid w:val="009506FA"/>
    <w:rsid w:val="00950A26"/>
    <w:rsid w:val="009512FD"/>
    <w:rsid w:val="00951CCB"/>
    <w:rsid w:val="009528A3"/>
    <w:rsid w:val="0095605C"/>
    <w:rsid w:val="00956F8E"/>
    <w:rsid w:val="009574B4"/>
    <w:rsid w:val="00961D9F"/>
    <w:rsid w:val="00963D83"/>
    <w:rsid w:val="00964331"/>
    <w:rsid w:val="00965349"/>
    <w:rsid w:val="00966842"/>
    <w:rsid w:val="009732CC"/>
    <w:rsid w:val="00973C50"/>
    <w:rsid w:val="0097417F"/>
    <w:rsid w:val="00974728"/>
    <w:rsid w:val="00974DA5"/>
    <w:rsid w:val="0097507B"/>
    <w:rsid w:val="00975D12"/>
    <w:rsid w:val="00976D5E"/>
    <w:rsid w:val="0098046C"/>
    <w:rsid w:val="00981295"/>
    <w:rsid w:val="009855CA"/>
    <w:rsid w:val="00985FED"/>
    <w:rsid w:val="00986DA6"/>
    <w:rsid w:val="00987855"/>
    <w:rsid w:val="00987DD7"/>
    <w:rsid w:val="00990507"/>
    <w:rsid w:val="00993A40"/>
    <w:rsid w:val="0099532A"/>
    <w:rsid w:val="00995F7D"/>
    <w:rsid w:val="00996151"/>
    <w:rsid w:val="009A00F0"/>
    <w:rsid w:val="009A0232"/>
    <w:rsid w:val="009A0DE0"/>
    <w:rsid w:val="009A1554"/>
    <w:rsid w:val="009A1C02"/>
    <w:rsid w:val="009A1E94"/>
    <w:rsid w:val="009A2FDE"/>
    <w:rsid w:val="009A6AFD"/>
    <w:rsid w:val="009B079B"/>
    <w:rsid w:val="009B30AA"/>
    <w:rsid w:val="009B39A3"/>
    <w:rsid w:val="009B4482"/>
    <w:rsid w:val="009B5040"/>
    <w:rsid w:val="009B63C6"/>
    <w:rsid w:val="009B6E3B"/>
    <w:rsid w:val="009B70EB"/>
    <w:rsid w:val="009B7435"/>
    <w:rsid w:val="009C035C"/>
    <w:rsid w:val="009C212D"/>
    <w:rsid w:val="009C3F60"/>
    <w:rsid w:val="009C5A7F"/>
    <w:rsid w:val="009C61CB"/>
    <w:rsid w:val="009D02CF"/>
    <w:rsid w:val="009D0CC8"/>
    <w:rsid w:val="009D18D1"/>
    <w:rsid w:val="009D23A1"/>
    <w:rsid w:val="009D2CDB"/>
    <w:rsid w:val="009D30B5"/>
    <w:rsid w:val="009D3DDA"/>
    <w:rsid w:val="009D3DFB"/>
    <w:rsid w:val="009D5C39"/>
    <w:rsid w:val="009D6E06"/>
    <w:rsid w:val="009D7858"/>
    <w:rsid w:val="009E0595"/>
    <w:rsid w:val="009E0798"/>
    <w:rsid w:val="009E3562"/>
    <w:rsid w:val="009E3C21"/>
    <w:rsid w:val="009E50D6"/>
    <w:rsid w:val="009E574E"/>
    <w:rsid w:val="009E6CCE"/>
    <w:rsid w:val="009E71D3"/>
    <w:rsid w:val="009E7EFB"/>
    <w:rsid w:val="009F0735"/>
    <w:rsid w:val="009F0A0C"/>
    <w:rsid w:val="009F0C1C"/>
    <w:rsid w:val="009F15D5"/>
    <w:rsid w:val="009F3381"/>
    <w:rsid w:val="009F5855"/>
    <w:rsid w:val="009F5A7B"/>
    <w:rsid w:val="009F7BC9"/>
    <w:rsid w:val="00A00A72"/>
    <w:rsid w:val="00A03975"/>
    <w:rsid w:val="00A04820"/>
    <w:rsid w:val="00A049FA"/>
    <w:rsid w:val="00A052D4"/>
    <w:rsid w:val="00A11894"/>
    <w:rsid w:val="00A141CD"/>
    <w:rsid w:val="00A15DBC"/>
    <w:rsid w:val="00A15E6D"/>
    <w:rsid w:val="00A163EF"/>
    <w:rsid w:val="00A20E2B"/>
    <w:rsid w:val="00A21311"/>
    <w:rsid w:val="00A216EA"/>
    <w:rsid w:val="00A22EDE"/>
    <w:rsid w:val="00A23DC4"/>
    <w:rsid w:val="00A25EDA"/>
    <w:rsid w:val="00A26CF4"/>
    <w:rsid w:val="00A27A62"/>
    <w:rsid w:val="00A30FD6"/>
    <w:rsid w:val="00A32C1B"/>
    <w:rsid w:val="00A32E8C"/>
    <w:rsid w:val="00A33070"/>
    <w:rsid w:val="00A34836"/>
    <w:rsid w:val="00A352D5"/>
    <w:rsid w:val="00A35C4F"/>
    <w:rsid w:val="00A3679F"/>
    <w:rsid w:val="00A36FA1"/>
    <w:rsid w:val="00A3737E"/>
    <w:rsid w:val="00A402BE"/>
    <w:rsid w:val="00A41154"/>
    <w:rsid w:val="00A411DD"/>
    <w:rsid w:val="00A41486"/>
    <w:rsid w:val="00A45749"/>
    <w:rsid w:val="00A4630B"/>
    <w:rsid w:val="00A47733"/>
    <w:rsid w:val="00A509B4"/>
    <w:rsid w:val="00A51728"/>
    <w:rsid w:val="00A51E38"/>
    <w:rsid w:val="00A52017"/>
    <w:rsid w:val="00A52535"/>
    <w:rsid w:val="00A52A10"/>
    <w:rsid w:val="00A53D92"/>
    <w:rsid w:val="00A55431"/>
    <w:rsid w:val="00A55B32"/>
    <w:rsid w:val="00A56822"/>
    <w:rsid w:val="00A57066"/>
    <w:rsid w:val="00A60F1A"/>
    <w:rsid w:val="00A611B3"/>
    <w:rsid w:val="00A614B8"/>
    <w:rsid w:val="00A61CF2"/>
    <w:rsid w:val="00A62A82"/>
    <w:rsid w:val="00A63D33"/>
    <w:rsid w:val="00A64A8A"/>
    <w:rsid w:val="00A64E07"/>
    <w:rsid w:val="00A65FEF"/>
    <w:rsid w:val="00A67249"/>
    <w:rsid w:val="00A67806"/>
    <w:rsid w:val="00A70621"/>
    <w:rsid w:val="00A72727"/>
    <w:rsid w:val="00A73066"/>
    <w:rsid w:val="00A73CB5"/>
    <w:rsid w:val="00A7621F"/>
    <w:rsid w:val="00A76E15"/>
    <w:rsid w:val="00A76F1F"/>
    <w:rsid w:val="00A770F1"/>
    <w:rsid w:val="00A80DC4"/>
    <w:rsid w:val="00A80F33"/>
    <w:rsid w:val="00A82F23"/>
    <w:rsid w:val="00A841D1"/>
    <w:rsid w:val="00A846A2"/>
    <w:rsid w:val="00A85682"/>
    <w:rsid w:val="00A87221"/>
    <w:rsid w:val="00A9044A"/>
    <w:rsid w:val="00A92254"/>
    <w:rsid w:val="00A92CC9"/>
    <w:rsid w:val="00A93406"/>
    <w:rsid w:val="00A93E2D"/>
    <w:rsid w:val="00A93E91"/>
    <w:rsid w:val="00A94C8B"/>
    <w:rsid w:val="00A95F3B"/>
    <w:rsid w:val="00A96A85"/>
    <w:rsid w:val="00A96B8E"/>
    <w:rsid w:val="00A97AE7"/>
    <w:rsid w:val="00AA15F9"/>
    <w:rsid w:val="00AA198C"/>
    <w:rsid w:val="00AA19B1"/>
    <w:rsid w:val="00AA206F"/>
    <w:rsid w:val="00AA2FBA"/>
    <w:rsid w:val="00AA30D2"/>
    <w:rsid w:val="00AA3677"/>
    <w:rsid w:val="00AA5855"/>
    <w:rsid w:val="00AA5DE8"/>
    <w:rsid w:val="00AA5E0A"/>
    <w:rsid w:val="00AA6098"/>
    <w:rsid w:val="00AA62D1"/>
    <w:rsid w:val="00AA6AA6"/>
    <w:rsid w:val="00AA7122"/>
    <w:rsid w:val="00AB1212"/>
    <w:rsid w:val="00AB1475"/>
    <w:rsid w:val="00AB183A"/>
    <w:rsid w:val="00AB237E"/>
    <w:rsid w:val="00AB3183"/>
    <w:rsid w:val="00AB3201"/>
    <w:rsid w:val="00AB33AB"/>
    <w:rsid w:val="00AB4027"/>
    <w:rsid w:val="00AB5518"/>
    <w:rsid w:val="00AB5604"/>
    <w:rsid w:val="00AB5AA3"/>
    <w:rsid w:val="00AB7D8A"/>
    <w:rsid w:val="00AC0461"/>
    <w:rsid w:val="00AC2308"/>
    <w:rsid w:val="00AC2B5C"/>
    <w:rsid w:val="00AC3B2D"/>
    <w:rsid w:val="00AC723A"/>
    <w:rsid w:val="00AC7C4D"/>
    <w:rsid w:val="00AD0332"/>
    <w:rsid w:val="00AD1F1F"/>
    <w:rsid w:val="00AD34C6"/>
    <w:rsid w:val="00AD3903"/>
    <w:rsid w:val="00AD3F8B"/>
    <w:rsid w:val="00AD4E8E"/>
    <w:rsid w:val="00AD5DA8"/>
    <w:rsid w:val="00AD6125"/>
    <w:rsid w:val="00AD646F"/>
    <w:rsid w:val="00AD769F"/>
    <w:rsid w:val="00AD7CEC"/>
    <w:rsid w:val="00AD7FA8"/>
    <w:rsid w:val="00AD7FC0"/>
    <w:rsid w:val="00AE2EE5"/>
    <w:rsid w:val="00AE33CC"/>
    <w:rsid w:val="00AE48DE"/>
    <w:rsid w:val="00AE51C0"/>
    <w:rsid w:val="00AE5604"/>
    <w:rsid w:val="00AF090B"/>
    <w:rsid w:val="00AF16DD"/>
    <w:rsid w:val="00AF3742"/>
    <w:rsid w:val="00AF38CA"/>
    <w:rsid w:val="00AF40B2"/>
    <w:rsid w:val="00AF588E"/>
    <w:rsid w:val="00AF6AC0"/>
    <w:rsid w:val="00AF7485"/>
    <w:rsid w:val="00B03E03"/>
    <w:rsid w:val="00B06CF7"/>
    <w:rsid w:val="00B07F94"/>
    <w:rsid w:val="00B11334"/>
    <w:rsid w:val="00B1280C"/>
    <w:rsid w:val="00B12B99"/>
    <w:rsid w:val="00B1330D"/>
    <w:rsid w:val="00B1464B"/>
    <w:rsid w:val="00B1475D"/>
    <w:rsid w:val="00B14DCA"/>
    <w:rsid w:val="00B1554D"/>
    <w:rsid w:val="00B15733"/>
    <w:rsid w:val="00B21791"/>
    <w:rsid w:val="00B22891"/>
    <w:rsid w:val="00B23216"/>
    <w:rsid w:val="00B24866"/>
    <w:rsid w:val="00B24C82"/>
    <w:rsid w:val="00B30F08"/>
    <w:rsid w:val="00B325B5"/>
    <w:rsid w:val="00B32A43"/>
    <w:rsid w:val="00B33A61"/>
    <w:rsid w:val="00B33B3F"/>
    <w:rsid w:val="00B33FCD"/>
    <w:rsid w:val="00B340D6"/>
    <w:rsid w:val="00B36138"/>
    <w:rsid w:val="00B36ECC"/>
    <w:rsid w:val="00B3732D"/>
    <w:rsid w:val="00B37C9D"/>
    <w:rsid w:val="00B40CEC"/>
    <w:rsid w:val="00B41D82"/>
    <w:rsid w:val="00B453CB"/>
    <w:rsid w:val="00B45400"/>
    <w:rsid w:val="00B45954"/>
    <w:rsid w:val="00B45FA6"/>
    <w:rsid w:val="00B46490"/>
    <w:rsid w:val="00B465C0"/>
    <w:rsid w:val="00B47534"/>
    <w:rsid w:val="00B50172"/>
    <w:rsid w:val="00B508AE"/>
    <w:rsid w:val="00B50C0A"/>
    <w:rsid w:val="00B51552"/>
    <w:rsid w:val="00B519CA"/>
    <w:rsid w:val="00B519E6"/>
    <w:rsid w:val="00B51C3D"/>
    <w:rsid w:val="00B5236F"/>
    <w:rsid w:val="00B53E78"/>
    <w:rsid w:val="00B53F0C"/>
    <w:rsid w:val="00B54BA2"/>
    <w:rsid w:val="00B54DB1"/>
    <w:rsid w:val="00B563BA"/>
    <w:rsid w:val="00B56498"/>
    <w:rsid w:val="00B57D81"/>
    <w:rsid w:val="00B601C0"/>
    <w:rsid w:val="00B6202C"/>
    <w:rsid w:val="00B623ED"/>
    <w:rsid w:val="00B62E43"/>
    <w:rsid w:val="00B63C59"/>
    <w:rsid w:val="00B64B9C"/>
    <w:rsid w:val="00B65A87"/>
    <w:rsid w:val="00B66200"/>
    <w:rsid w:val="00B70AD0"/>
    <w:rsid w:val="00B70E4A"/>
    <w:rsid w:val="00B72B7C"/>
    <w:rsid w:val="00B73798"/>
    <w:rsid w:val="00B73FF7"/>
    <w:rsid w:val="00B746E7"/>
    <w:rsid w:val="00B74FCD"/>
    <w:rsid w:val="00B75C22"/>
    <w:rsid w:val="00B767F1"/>
    <w:rsid w:val="00B77696"/>
    <w:rsid w:val="00B779D2"/>
    <w:rsid w:val="00B81B90"/>
    <w:rsid w:val="00B82B5A"/>
    <w:rsid w:val="00B82D53"/>
    <w:rsid w:val="00B82F6A"/>
    <w:rsid w:val="00B83215"/>
    <w:rsid w:val="00B83E4F"/>
    <w:rsid w:val="00B850E2"/>
    <w:rsid w:val="00B85384"/>
    <w:rsid w:val="00B85467"/>
    <w:rsid w:val="00B8691E"/>
    <w:rsid w:val="00B87564"/>
    <w:rsid w:val="00B875A5"/>
    <w:rsid w:val="00B879C7"/>
    <w:rsid w:val="00B87FCC"/>
    <w:rsid w:val="00B91C67"/>
    <w:rsid w:val="00B923C9"/>
    <w:rsid w:val="00B929E1"/>
    <w:rsid w:val="00B92EA8"/>
    <w:rsid w:val="00B939B5"/>
    <w:rsid w:val="00B93E9F"/>
    <w:rsid w:val="00B940C7"/>
    <w:rsid w:val="00B95E3F"/>
    <w:rsid w:val="00B96241"/>
    <w:rsid w:val="00B96D52"/>
    <w:rsid w:val="00BA0440"/>
    <w:rsid w:val="00BA0CB6"/>
    <w:rsid w:val="00BA0DD5"/>
    <w:rsid w:val="00BA1BE8"/>
    <w:rsid w:val="00BA233B"/>
    <w:rsid w:val="00BA3B17"/>
    <w:rsid w:val="00BA3EEF"/>
    <w:rsid w:val="00BA66AC"/>
    <w:rsid w:val="00BA7FA0"/>
    <w:rsid w:val="00BB1C21"/>
    <w:rsid w:val="00BB5B65"/>
    <w:rsid w:val="00BC2267"/>
    <w:rsid w:val="00BC32FA"/>
    <w:rsid w:val="00BC330C"/>
    <w:rsid w:val="00BC36F2"/>
    <w:rsid w:val="00BC3A00"/>
    <w:rsid w:val="00BC6611"/>
    <w:rsid w:val="00BC6CB2"/>
    <w:rsid w:val="00BC7909"/>
    <w:rsid w:val="00BD000B"/>
    <w:rsid w:val="00BD0593"/>
    <w:rsid w:val="00BD3FB2"/>
    <w:rsid w:val="00BD4080"/>
    <w:rsid w:val="00BD43DD"/>
    <w:rsid w:val="00BD492C"/>
    <w:rsid w:val="00BD668D"/>
    <w:rsid w:val="00BD6F45"/>
    <w:rsid w:val="00BD71EC"/>
    <w:rsid w:val="00BD79B9"/>
    <w:rsid w:val="00BE2760"/>
    <w:rsid w:val="00BE2929"/>
    <w:rsid w:val="00BE47D4"/>
    <w:rsid w:val="00BE47FE"/>
    <w:rsid w:val="00BE67E4"/>
    <w:rsid w:val="00BE6DE0"/>
    <w:rsid w:val="00BF03F7"/>
    <w:rsid w:val="00BF2F06"/>
    <w:rsid w:val="00BF428A"/>
    <w:rsid w:val="00BF4371"/>
    <w:rsid w:val="00BF71CC"/>
    <w:rsid w:val="00C006E1"/>
    <w:rsid w:val="00C027D3"/>
    <w:rsid w:val="00C03BA3"/>
    <w:rsid w:val="00C03DE2"/>
    <w:rsid w:val="00C0416D"/>
    <w:rsid w:val="00C05347"/>
    <w:rsid w:val="00C057C6"/>
    <w:rsid w:val="00C05AC7"/>
    <w:rsid w:val="00C0639A"/>
    <w:rsid w:val="00C12060"/>
    <w:rsid w:val="00C150DC"/>
    <w:rsid w:val="00C20AD4"/>
    <w:rsid w:val="00C229A4"/>
    <w:rsid w:val="00C25D93"/>
    <w:rsid w:val="00C26920"/>
    <w:rsid w:val="00C27D63"/>
    <w:rsid w:val="00C317D9"/>
    <w:rsid w:val="00C34BB4"/>
    <w:rsid w:val="00C36884"/>
    <w:rsid w:val="00C37FF8"/>
    <w:rsid w:val="00C41E04"/>
    <w:rsid w:val="00C45453"/>
    <w:rsid w:val="00C4610C"/>
    <w:rsid w:val="00C4764B"/>
    <w:rsid w:val="00C4792D"/>
    <w:rsid w:val="00C51FEA"/>
    <w:rsid w:val="00C52337"/>
    <w:rsid w:val="00C523F4"/>
    <w:rsid w:val="00C54742"/>
    <w:rsid w:val="00C54CB6"/>
    <w:rsid w:val="00C56A09"/>
    <w:rsid w:val="00C60087"/>
    <w:rsid w:val="00C60C7F"/>
    <w:rsid w:val="00C615B0"/>
    <w:rsid w:val="00C61AE8"/>
    <w:rsid w:val="00C61BE0"/>
    <w:rsid w:val="00C61E6A"/>
    <w:rsid w:val="00C63B3A"/>
    <w:rsid w:val="00C64826"/>
    <w:rsid w:val="00C65C49"/>
    <w:rsid w:val="00C679C5"/>
    <w:rsid w:val="00C67FC6"/>
    <w:rsid w:val="00C720E7"/>
    <w:rsid w:val="00C722E9"/>
    <w:rsid w:val="00C724E0"/>
    <w:rsid w:val="00C72A23"/>
    <w:rsid w:val="00C7343A"/>
    <w:rsid w:val="00C758D9"/>
    <w:rsid w:val="00C762D9"/>
    <w:rsid w:val="00C76736"/>
    <w:rsid w:val="00C7735A"/>
    <w:rsid w:val="00C77FB9"/>
    <w:rsid w:val="00C806DC"/>
    <w:rsid w:val="00C80AD5"/>
    <w:rsid w:val="00C83038"/>
    <w:rsid w:val="00C83E55"/>
    <w:rsid w:val="00C84F0F"/>
    <w:rsid w:val="00C85010"/>
    <w:rsid w:val="00C85066"/>
    <w:rsid w:val="00C85590"/>
    <w:rsid w:val="00C85F79"/>
    <w:rsid w:val="00C86462"/>
    <w:rsid w:val="00C9018B"/>
    <w:rsid w:val="00C91909"/>
    <w:rsid w:val="00CA05FA"/>
    <w:rsid w:val="00CA1748"/>
    <w:rsid w:val="00CA1C7C"/>
    <w:rsid w:val="00CA3D32"/>
    <w:rsid w:val="00CA5510"/>
    <w:rsid w:val="00CA6A20"/>
    <w:rsid w:val="00CA6DE5"/>
    <w:rsid w:val="00CA74BC"/>
    <w:rsid w:val="00CB1CC8"/>
    <w:rsid w:val="00CB2A16"/>
    <w:rsid w:val="00CB2F0F"/>
    <w:rsid w:val="00CB4087"/>
    <w:rsid w:val="00CB41F8"/>
    <w:rsid w:val="00CB49C5"/>
    <w:rsid w:val="00CB7ED4"/>
    <w:rsid w:val="00CC135F"/>
    <w:rsid w:val="00CC294C"/>
    <w:rsid w:val="00CC4951"/>
    <w:rsid w:val="00CC4FC5"/>
    <w:rsid w:val="00CC5A3C"/>
    <w:rsid w:val="00CC63B8"/>
    <w:rsid w:val="00CC7309"/>
    <w:rsid w:val="00CC7B53"/>
    <w:rsid w:val="00CD0107"/>
    <w:rsid w:val="00CD11FE"/>
    <w:rsid w:val="00CD25E0"/>
    <w:rsid w:val="00CD2762"/>
    <w:rsid w:val="00CD31AB"/>
    <w:rsid w:val="00CD5A25"/>
    <w:rsid w:val="00CD6B17"/>
    <w:rsid w:val="00CD7797"/>
    <w:rsid w:val="00CD79D4"/>
    <w:rsid w:val="00CD7BAC"/>
    <w:rsid w:val="00CE06A7"/>
    <w:rsid w:val="00CE0C90"/>
    <w:rsid w:val="00CE1035"/>
    <w:rsid w:val="00CE126C"/>
    <w:rsid w:val="00CE1945"/>
    <w:rsid w:val="00CE417E"/>
    <w:rsid w:val="00CE4CE5"/>
    <w:rsid w:val="00CE5F6C"/>
    <w:rsid w:val="00CE72EE"/>
    <w:rsid w:val="00CF026F"/>
    <w:rsid w:val="00CF0CA9"/>
    <w:rsid w:val="00CF120E"/>
    <w:rsid w:val="00CF20EC"/>
    <w:rsid w:val="00CF4AF7"/>
    <w:rsid w:val="00CF54E2"/>
    <w:rsid w:val="00CF6214"/>
    <w:rsid w:val="00CF6874"/>
    <w:rsid w:val="00CF7BA2"/>
    <w:rsid w:val="00D009CE"/>
    <w:rsid w:val="00D01832"/>
    <w:rsid w:val="00D01DDC"/>
    <w:rsid w:val="00D038C4"/>
    <w:rsid w:val="00D0494A"/>
    <w:rsid w:val="00D04FE9"/>
    <w:rsid w:val="00D05274"/>
    <w:rsid w:val="00D06125"/>
    <w:rsid w:val="00D11F79"/>
    <w:rsid w:val="00D12D2A"/>
    <w:rsid w:val="00D1364A"/>
    <w:rsid w:val="00D1647C"/>
    <w:rsid w:val="00D16BA1"/>
    <w:rsid w:val="00D16E90"/>
    <w:rsid w:val="00D20BAF"/>
    <w:rsid w:val="00D215EC"/>
    <w:rsid w:val="00D21B88"/>
    <w:rsid w:val="00D22484"/>
    <w:rsid w:val="00D22904"/>
    <w:rsid w:val="00D22A3A"/>
    <w:rsid w:val="00D23E32"/>
    <w:rsid w:val="00D25C0E"/>
    <w:rsid w:val="00D269A3"/>
    <w:rsid w:val="00D26B7C"/>
    <w:rsid w:val="00D26CF1"/>
    <w:rsid w:val="00D26DBF"/>
    <w:rsid w:val="00D27460"/>
    <w:rsid w:val="00D31063"/>
    <w:rsid w:val="00D31158"/>
    <w:rsid w:val="00D312FE"/>
    <w:rsid w:val="00D31B81"/>
    <w:rsid w:val="00D330DD"/>
    <w:rsid w:val="00D365D5"/>
    <w:rsid w:val="00D3697A"/>
    <w:rsid w:val="00D4052E"/>
    <w:rsid w:val="00D416F2"/>
    <w:rsid w:val="00D42369"/>
    <w:rsid w:val="00D433C1"/>
    <w:rsid w:val="00D43BC4"/>
    <w:rsid w:val="00D44082"/>
    <w:rsid w:val="00D44F8B"/>
    <w:rsid w:val="00D452D6"/>
    <w:rsid w:val="00D45840"/>
    <w:rsid w:val="00D45C0E"/>
    <w:rsid w:val="00D462C0"/>
    <w:rsid w:val="00D467C3"/>
    <w:rsid w:val="00D46BD6"/>
    <w:rsid w:val="00D46F5C"/>
    <w:rsid w:val="00D476FD"/>
    <w:rsid w:val="00D51326"/>
    <w:rsid w:val="00D5162E"/>
    <w:rsid w:val="00D52A41"/>
    <w:rsid w:val="00D52F29"/>
    <w:rsid w:val="00D53F35"/>
    <w:rsid w:val="00D54660"/>
    <w:rsid w:val="00D564B5"/>
    <w:rsid w:val="00D5732E"/>
    <w:rsid w:val="00D61E00"/>
    <w:rsid w:val="00D621FE"/>
    <w:rsid w:val="00D631F1"/>
    <w:rsid w:val="00D639DB"/>
    <w:rsid w:val="00D65273"/>
    <w:rsid w:val="00D6775C"/>
    <w:rsid w:val="00D7061D"/>
    <w:rsid w:val="00D71464"/>
    <w:rsid w:val="00D71492"/>
    <w:rsid w:val="00D724A7"/>
    <w:rsid w:val="00D73D29"/>
    <w:rsid w:val="00D75D2B"/>
    <w:rsid w:val="00D761EF"/>
    <w:rsid w:val="00D80726"/>
    <w:rsid w:val="00D80EE3"/>
    <w:rsid w:val="00D81324"/>
    <w:rsid w:val="00D84A2F"/>
    <w:rsid w:val="00D85F10"/>
    <w:rsid w:val="00D8648F"/>
    <w:rsid w:val="00D865C8"/>
    <w:rsid w:val="00D876A5"/>
    <w:rsid w:val="00D90EAD"/>
    <w:rsid w:val="00D92172"/>
    <w:rsid w:val="00D93DD0"/>
    <w:rsid w:val="00D95120"/>
    <w:rsid w:val="00D958C8"/>
    <w:rsid w:val="00D96B23"/>
    <w:rsid w:val="00D97A12"/>
    <w:rsid w:val="00DA1BA0"/>
    <w:rsid w:val="00DA4910"/>
    <w:rsid w:val="00DA5F25"/>
    <w:rsid w:val="00DA6897"/>
    <w:rsid w:val="00DA6D56"/>
    <w:rsid w:val="00DB0788"/>
    <w:rsid w:val="00DB0D94"/>
    <w:rsid w:val="00DB1F0D"/>
    <w:rsid w:val="00DB323F"/>
    <w:rsid w:val="00DB4C64"/>
    <w:rsid w:val="00DB564B"/>
    <w:rsid w:val="00DB607E"/>
    <w:rsid w:val="00DB6092"/>
    <w:rsid w:val="00DB6A93"/>
    <w:rsid w:val="00DB7327"/>
    <w:rsid w:val="00DB7850"/>
    <w:rsid w:val="00DB7BE0"/>
    <w:rsid w:val="00DC025C"/>
    <w:rsid w:val="00DC0C8D"/>
    <w:rsid w:val="00DC2288"/>
    <w:rsid w:val="00DC25E1"/>
    <w:rsid w:val="00DC55F8"/>
    <w:rsid w:val="00DD0F68"/>
    <w:rsid w:val="00DD10E8"/>
    <w:rsid w:val="00DD1272"/>
    <w:rsid w:val="00DD19B8"/>
    <w:rsid w:val="00DD2124"/>
    <w:rsid w:val="00DD2127"/>
    <w:rsid w:val="00DD2136"/>
    <w:rsid w:val="00DD368A"/>
    <w:rsid w:val="00DD463C"/>
    <w:rsid w:val="00DD628F"/>
    <w:rsid w:val="00DD74E8"/>
    <w:rsid w:val="00DD7EF5"/>
    <w:rsid w:val="00DE129B"/>
    <w:rsid w:val="00DE1B33"/>
    <w:rsid w:val="00DE3062"/>
    <w:rsid w:val="00DE3AA5"/>
    <w:rsid w:val="00DE5635"/>
    <w:rsid w:val="00DF1979"/>
    <w:rsid w:val="00DF1E8C"/>
    <w:rsid w:val="00DF221B"/>
    <w:rsid w:val="00DF23F9"/>
    <w:rsid w:val="00DF28ED"/>
    <w:rsid w:val="00DF3371"/>
    <w:rsid w:val="00DF5C4C"/>
    <w:rsid w:val="00DF6747"/>
    <w:rsid w:val="00E00EE4"/>
    <w:rsid w:val="00E058F6"/>
    <w:rsid w:val="00E059B9"/>
    <w:rsid w:val="00E103DF"/>
    <w:rsid w:val="00E10502"/>
    <w:rsid w:val="00E1106B"/>
    <w:rsid w:val="00E11441"/>
    <w:rsid w:val="00E12798"/>
    <w:rsid w:val="00E132FB"/>
    <w:rsid w:val="00E152DC"/>
    <w:rsid w:val="00E16F6D"/>
    <w:rsid w:val="00E213E5"/>
    <w:rsid w:val="00E21B4F"/>
    <w:rsid w:val="00E21DFA"/>
    <w:rsid w:val="00E22589"/>
    <w:rsid w:val="00E22DA2"/>
    <w:rsid w:val="00E234A9"/>
    <w:rsid w:val="00E2408F"/>
    <w:rsid w:val="00E26C4F"/>
    <w:rsid w:val="00E3097A"/>
    <w:rsid w:val="00E30D89"/>
    <w:rsid w:val="00E3117C"/>
    <w:rsid w:val="00E31180"/>
    <w:rsid w:val="00E31D65"/>
    <w:rsid w:val="00E3397A"/>
    <w:rsid w:val="00E339DE"/>
    <w:rsid w:val="00E346D9"/>
    <w:rsid w:val="00E34A58"/>
    <w:rsid w:val="00E3673F"/>
    <w:rsid w:val="00E3703B"/>
    <w:rsid w:val="00E41345"/>
    <w:rsid w:val="00E4668A"/>
    <w:rsid w:val="00E50660"/>
    <w:rsid w:val="00E5286F"/>
    <w:rsid w:val="00E52A1A"/>
    <w:rsid w:val="00E52E66"/>
    <w:rsid w:val="00E53B98"/>
    <w:rsid w:val="00E57EEB"/>
    <w:rsid w:val="00E60862"/>
    <w:rsid w:val="00E6089A"/>
    <w:rsid w:val="00E61518"/>
    <w:rsid w:val="00E647D6"/>
    <w:rsid w:val="00E66214"/>
    <w:rsid w:val="00E71D29"/>
    <w:rsid w:val="00E73A55"/>
    <w:rsid w:val="00E73D51"/>
    <w:rsid w:val="00E73FD4"/>
    <w:rsid w:val="00E775FF"/>
    <w:rsid w:val="00E805F2"/>
    <w:rsid w:val="00E80CE2"/>
    <w:rsid w:val="00E811E4"/>
    <w:rsid w:val="00E849F8"/>
    <w:rsid w:val="00E84F56"/>
    <w:rsid w:val="00E852B4"/>
    <w:rsid w:val="00E91E54"/>
    <w:rsid w:val="00E922DF"/>
    <w:rsid w:val="00E932D9"/>
    <w:rsid w:val="00E94515"/>
    <w:rsid w:val="00E94908"/>
    <w:rsid w:val="00E95F79"/>
    <w:rsid w:val="00E95FA0"/>
    <w:rsid w:val="00E96A28"/>
    <w:rsid w:val="00E974A5"/>
    <w:rsid w:val="00E977A9"/>
    <w:rsid w:val="00E97E69"/>
    <w:rsid w:val="00EA0128"/>
    <w:rsid w:val="00EA0926"/>
    <w:rsid w:val="00EA1B7D"/>
    <w:rsid w:val="00EA1B9B"/>
    <w:rsid w:val="00EA2249"/>
    <w:rsid w:val="00EA2823"/>
    <w:rsid w:val="00EA3337"/>
    <w:rsid w:val="00EA3500"/>
    <w:rsid w:val="00EA3E26"/>
    <w:rsid w:val="00EA3FA9"/>
    <w:rsid w:val="00EA5414"/>
    <w:rsid w:val="00EA7026"/>
    <w:rsid w:val="00EA7762"/>
    <w:rsid w:val="00EA7C1F"/>
    <w:rsid w:val="00EB0B0D"/>
    <w:rsid w:val="00EB154B"/>
    <w:rsid w:val="00EB2442"/>
    <w:rsid w:val="00EB566D"/>
    <w:rsid w:val="00EB6910"/>
    <w:rsid w:val="00EB6C98"/>
    <w:rsid w:val="00EB708F"/>
    <w:rsid w:val="00EB7AA0"/>
    <w:rsid w:val="00EC150F"/>
    <w:rsid w:val="00EC1A21"/>
    <w:rsid w:val="00EC2005"/>
    <w:rsid w:val="00EC2751"/>
    <w:rsid w:val="00EC447D"/>
    <w:rsid w:val="00EC45E6"/>
    <w:rsid w:val="00EC7E67"/>
    <w:rsid w:val="00ED066D"/>
    <w:rsid w:val="00ED24C6"/>
    <w:rsid w:val="00ED3461"/>
    <w:rsid w:val="00ED3C61"/>
    <w:rsid w:val="00ED47A4"/>
    <w:rsid w:val="00ED4A79"/>
    <w:rsid w:val="00ED4E61"/>
    <w:rsid w:val="00ED555D"/>
    <w:rsid w:val="00ED6FB1"/>
    <w:rsid w:val="00ED7C6F"/>
    <w:rsid w:val="00EE0F1B"/>
    <w:rsid w:val="00EE1472"/>
    <w:rsid w:val="00EE17C2"/>
    <w:rsid w:val="00EE1956"/>
    <w:rsid w:val="00EE23BB"/>
    <w:rsid w:val="00EE3362"/>
    <w:rsid w:val="00EE41E9"/>
    <w:rsid w:val="00EE4B03"/>
    <w:rsid w:val="00EE67B7"/>
    <w:rsid w:val="00EE7634"/>
    <w:rsid w:val="00EE7D2D"/>
    <w:rsid w:val="00EE7E8A"/>
    <w:rsid w:val="00EF1807"/>
    <w:rsid w:val="00EF2AF7"/>
    <w:rsid w:val="00EF3948"/>
    <w:rsid w:val="00EF4E4A"/>
    <w:rsid w:val="00EF5074"/>
    <w:rsid w:val="00EF560A"/>
    <w:rsid w:val="00EF5AC6"/>
    <w:rsid w:val="00EF6028"/>
    <w:rsid w:val="00EF7495"/>
    <w:rsid w:val="00F00D6B"/>
    <w:rsid w:val="00F0117E"/>
    <w:rsid w:val="00F02D17"/>
    <w:rsid w:val="00F042E2"/>
    <w:rsid w:val="00F05D3C"/>
    <w:rsid w:val="00F06429"/>
    <w:rsid w:val="00F07FA3"/>
    <w:rsid w:val="00F105B9"/>
    <w:rsid w:val="00F12C9D"/>
    <w:rsid w:val="00F1414B"/>
    <w:rsid w:val="00F15837"/>
    <w:rsid w:val="00F163E6"/>
    <w:rsid w:val="00F2076A"/>
    <w:rsid w:val="00F20FC1"/>
    <w:rsid w:val="00F22F0C"/>
    <w:rsid w:val="00F23674"/>
    <w:rsid w:val="00F23C1B"/>
    <w:rsid w:val="00F254D6"/>
    <w:rsid w:val="00F25852"/>
    <w:rsid w:val="00F26133"/>
    <w:rsid w:val="00F2657A"/>
    <w:rsid w:val="00F268BC"/>
    <w:rsid w:val="00F26EC4"/>
    <w:rsid w:val="00F32163"/>
    <w:rsid w:val="00F327A7"/>
    <w:rsid w:val="00F330A7"/>
    <w:rsid w:val="00F33587"/>
    <w:rsid w:val="00F33DFF"/>
    <w:rsid w:val="00F34536"/>
    <w:rsid w:val="00F34D09"/>
    <w:rsid w:val="00F354FD"/>
    <w:rsid w:val="00F35604"/>
    <w:rsid w:val="00F3744D"/>
    <w:rsid w:val="00F3780A"/>
    <w:rsid w:val="00F40395"/>
    <w:rsid w:val="00F40A35"/>
    <w:rsid w:val="00F4114C"/>
    <w:rsid w:val="00F415DA"/>
    <w:rsid w:val="00F42C92"/>
    <w:rsid w:val="00F43310"/>
    <w:rsid w:val="00F4337E"/>
    <w:rsid w:val="00F44281"/>
    <w:rsid w:val="00F45FBF"/>
    <w:rsid w:val="00F465D7"/>
    <w:rsid w:val="00F4683F"/>
    <w:rsid w:val="00F50505"/>
    <w:rsid w:val="00F51719"/>
    <w:rsid w:val="00F53162"/>
    <w:rsid w:val="00F53F22"/>
    <w:rsid w:val="00F544F9"/>
    <w:rsid w:val="00F55A88"/>
    <w:rsid w:val="00F566F0"/>
    <w:rsid w:val="00F56952"/>
    <w:rsid w:val="00F60B5B"/>
    <w:rsid w:val="00F60B91"/>
    <w:rsid w:val="00F61074"/>
    <w:rsid w:val="00F632E6"/>
    <w:rsid w:val="00F637C1"/>
    <w:rsid w:val="00F66EB9"/>
    <w:rsid w:val="00F67053"/>
    <w:rsid w:val="00F67D5E"/>
    <w:rsid w:val="00F71AAE"/>
    <w:rsid w:val="00F71B9F"/>
    <w:rsid w:val="00F72469"/>
    <w:rsid w:val="00F74AA0"/>
    <w:rsid w:val="00F758C6"/>
    <w:rsid w:val="00F80E65"/>
    <w:rsid w:val="00F84458"/>
    <w:rsid w:val="00F8564B"/>
    <w:rsid w:val="00F85F3F"/>
    <w:rsid w:val="00F86BD4"/>
    <w:rsid w:val="00F904D9"/>
    <w:rsid w:val="00F904FA"/>
    <w:rsid w:val="00F9322A"/>
    <w:rsid w:val="00F936F8"/>
    <w:rsid w:val="00F93855"/>
    <w:rsid w:val="00F94F38"/>
    <w:rsid w:val="00F95705"/>
    <w:rsid w:val="00F9665C"/>
    <w:rsid w:val="00FA0933"/>
    <w:rsid w:val="00FA0E80"/>
    <w:rsid w:val="00FA3D73"/>
    <w:rsid w:val="00FA4D57"/>
    <w:rsid w:val="00FA56A6"/>
    <w:rsid w:val="00FA6794"/>
    <w:rsid w:val="00FA6A67"/>
    <w:rsid w:val="00FA6FF2"/>
    <w:rsid w:val="00FB23EB"/>
    <w:rsid w:val="00FB2977"/>
    <w:rsid w:val="00FB3D29"/>
    <w:rsid w:val="00FB4210"/>
    <w:rsid w:val="00FC2960"/>
    <w:rsid w:val="00FC3B98"/>
    <w:rsid w:val="00FC464C"/>
    <w:rsid w:val="00FC5995"/>
    <w:rsid w:val="00FC68B8"/>
    <w:rsid w:val="00FD11D9"/>
    <w:rsid w:val="00FD16CE"/>
    <w:rsid w:val="00FD1923"/>
    <w:rsid w:val="00FD2590"/>
    <w:rsid w:val="00FD2A13"/>
    <w:rsid w:val="00FD2D40"/>
    <w:rsid w:val="00FD3432"/>
    <w:rsid w:val="00FD3784"/>
    <w:rsid w:val="00FD3FEB"/>
    <w:rsid w:val="00FD5496"/>
    <w:rsid w:val="00FD7126"/>
    <w:rsid w:val="00FE0136"/>
    <w:rsid w:val="00FE0537"/>
    <w:rsid w:val="00FE0F89"/>
    <w:rsid w:val="00FE13DF"/>
    <w:rsid w:val="00FE179B"/>
    <w:rsid w:val="00FE1CA0"/>
    <w:rsid w:val="00FE22B4"/>
    <w:rsid w:val="00FE2A6D"/>
    <w:rsid w:val="00FE3282"/>
    <w:rsid w:val="00FE3AF3"/>
    <w:rsid w:val="00FE7BDF"/>
    <w:rsid w:val="00FE7E44"/>
    <w:rsid w:val="00FF49DD"/>
    <w:rsid w:val="00FF4A9A"/>
    <w:rsid w:val="00FF4A9B"/>
    <w:rsid w:val="00FF57CC"/>
    <w:rsid w:val="00FF6722"/>
    <w:rsid w:val="013F1DC9"/>
    <w:rsid w:val="017839B4"/>
    <w:rsid w:val="018F4F84"/>
    <w:rsid w:val="01B647F2"/>
    <w:rsid w:val="01D31DFC"/>
    <w:rsid w:val="01E445CE"/>
    <w:rsid w:val="01F45076"/>
    <w:rsid w:val="01F91A6E"/>
    <w:rsid w:val="020725C5"/>
    <w:rsid w:val="022910C8"/>
    <w:rsid w:val="02322BAC"/>
    <w:rsid w:val="02454D54"/>
    <w:rsid w:val="028415F1"/>
    <w:rsid w:val="028A1474"/>
    <w:rsid w:val="02AA2908"/>
    <w:rsid w:val="02B923FE"/>
    <w:rsid w:val="02BF7C9F"/>
    <w:rsid w:val="02F71809"/>
    <w:rsid w:val="030249B1"/>
    <w:rsid w:val="03171CD9"/>
    <w:rsid w:val="033504B4"/>
    <w:rsid w:val="03454BCD"/>
    <w:rsid w:val="03474F5C"/>
    <w:rsid w:val="034E6284"/>
    <w:rsid w:val="035D67C3"/>
    <w:rsid w:val="035E06B7"/>
    <w:rsid w:val="036A5173"/>
    <w:rsid w:val="038B5147"/>
    <w:rsid w:val="03C77F17"/>
    <w:rsid w:val="03D4770F"/>
    <w:rsid w:val="03DC4269"/>
    <w:rsid w:val="03DF1FA6"/>
    <w:rsid w:val="03E41547"/>
    <w:rsid w:val="03FE0FC9"/>
    <w:rsid w:val="04156CEC"/>
    <w:rsid w:val="0419195F"/>
    <w:rsid w:val="045F02DA"/>
    <w:rsid w:val="04695E5D"/>
    <w:rsid w:val="04A84807"/>
    <w:rsid w:val="04DF3086"/>
    <w:rsid w:val="04F860A3"/>
    <w:rsid w:val="0519312F"/>
    <w:rsid w:val="051D2DF9"/>
    <w:rsid w:val="052F3D26"/>
    <w:rsid w:val="05356F5A"/>
    <w:rsid w:val="05366E15"/>
    <w:rsid w:val="05527DB0"/>
    <w:rsid w:val="05564AC3"/>
    <w:rsid w:val="05643544"/>
    <w:rsid w:val="056B6E84"/>
    <w:rsid w:val="056D08A4"/>
    <w:rsid w:val="057C755A"/>
    <w:rsid w:val="05CF0AB2"/>
    <w:rsid w:val="05D9283D"/>
    <w:rsid w:val="05DF3FF2"/>
    <w:rsid w:val="05E80F2C"/>
    <w:rsid w:val="05F46BEC"/>
    <w:rsid w:val="060D0289"/>
    <w:rsid w:val="062007A1"/>
    <w:rsid w:val="064A25AA"/>
    <w:rsid w:val="065F2B1E"/>
    <w:rsid w:val="066527AE"/>
    <w:rsid w:val="06673F9A"/>
    <w:rsid w:val="069046C8"/>
    <w:rsid w:val="069C6C57"/>
    <w:rsid w:val="06AD7702"/>
    <w:rsid w:val="06BC54D2"/>
    <w:rsid w:val="06CC4263"/>
    <w:rsid w:val="06DA12D1"/>
    <w:rsid w:val="06FD084E"/>
    <w:rsid w:val="07005256"/>
    <w:rsid w:val="070833D4"/>
    <w:rsid w:val="07205FDA"/>
    <w:rsid w:val="072A32A5"/>
    <w:rsid w:val="07415076"/>
    <w:rsid w:val="07456585"/>
    <w:rsid w:val="07820722"/>
    <w:rsid w:val="07B85608"/>
    <w:rsid w:val="07C93C74"/>
    <w:rsid w:val="07E152BF"/>
    <w:rsid w:val="07EF6E68"/>
    <w:rsid w:val="07FC31A3"/>
    <w:rsid w:val="08192E31"/>
    <w:rsid w:val="085A51F1"/>
    <w:rsid w:val="0867416F"/>
    <w:rsid w:val="089C79E3"/>
    <w:rsid w:val="08D42713"/>
    <w:rsid w:val="08D65A4F"/>
    <w:rsid w:val="08D6701D"/>
    <w:rsid w:val="08F024D3"/>
    <w:rsid w:val="09064FBB"/>
    <w:rsid w:val="09190D62"/>
    <w:rsid w:val="09214029"/>
    <w:rsid w:val="09475E50"/>
    <w:rsid w:val="09653FBD"/>
    <w:rsid w:val="099076BA"/>
    <w:rsid w:val="09E74CB3"/>
    <w:rsid w:val="09EB370C"/>
    <w:rsid w:val="09F40745"/>
    <w:rsid w:val="0A000593"/>
    <w:rsid w:val="0A07468E"/>
    <w:rsid w:val="0A0F4CAB"/>
    <w:rsid w:val="0A333F43"/>
    <w:rsid w:val="0A5F02DC"/>
    <w:rsid w:val="0A722405"/>
    <w:rsid w:val="0A86242B"/>
    <w:rsid w:val="0AAB63D9"/>
    <w:rsid w:val="0AAE1D84"/>
    <w:rsid w:val="0AF3441A"/>
    <w:rsid w:val="0AFB43CE"/>
    <w:rsid w:val="0AFB77C3"/>
    <w:rsid w:val="0B0861C1"/>
    <w:rsid w:val="0B25555B"/>
    <w:rsid w:val="0B301DB6"/>
    <w:rsid w:val="0B5657C7"/>
    <w:rsid w:val="0B6837A0"/>
    <w:rsid w:val="0B7078E0"/>
    <w:rsid w:val="0B876A6B"/>
    <w:rsid w:val="0B8E095D"/>
    <w:rsid w:val="0BA01E8A"/>
    <w:rsid w:val="0BDE5511"/>
    <w:rsid w:val="0BF13340"/>
    <w:rsid w:val="0C0710D3"/>
    <w:rsid w:val="0C0B1E69"/>
    <w:rsid w:val="0C363673"/>
    <w:rsid w:val="0C434CD5"/>
    <w:rsid w:val="0C7B17F2"/>
    <w:rsid w:val="0C985AFF"/>
    <w:rsid w:val="0D334F58"/>
    <w:rsid w:val="0D3F525D"/>
    <w:rsid w:val="0D422E5F"/>
    <w:rsid w:val="0D606BBE"/>
    <w:rsid w:val="0D711657"/>
    <w:rsid w:val="0D926941"/>
    <w:rsid w:val="0D95434C"/>
    <w:rsid w:val="0D990B70"/>
    <w:rsid w:val="0DCA798F"/>
    <w:rsid w:val="0DE03E72"/>
    <w:rsid w:val="0DE272C5"/>
    <w:rsid w:val="0E2D3048"/>
    <w:rsid w:val="0E9A7F8D"/>
    <w:rsid w:val="0EB04B72"/>
    <w:rsid w:val="0EB519B3"/>
    <w:rsid w:val="0ECB25C2"/>
    <w:rsid w:val="0EE27B1F"/>
    <w:rsid w:val="0EFE796C"/>
    <w:rsid w:val="0F0B37B0"/>
    <w:rsid w:val="0F145680"/>
    <w:rsid w:val="0F191BD9"/>
    <w:rsid w:val="0F3378BD"/>
    <w:rsid w:val="0F4935ED"/>
    <w:rsid w:val="0F4B6100"/>
    <w:rsid w:val="0F4F73DF"/>
    <w:rsid w:val="0F53595D"/>
    <w:rsid w:val="0F663014"/>
    <w:rsid w:val="0F8F00FD"/>
    <w:rsid w:val="0FA46529"/>
    <w:rsid w:val="0FA874C5"/>
    <w:rsid w:val="0FB57113"/>
    <w:rsid w:val="0FCF4613"/>
    <w:rsid w:val="0FD24972"/>
    <w:rsid w:val="0FD74C23"/>
    <w:rsid w:val="100F6ABC"/>
    <w:rsid w:val="10215008"/>
    <w:rsid w:val="103C513D"/>
    <w:rsid w:val="105570E6"/>
    <w:rsid w:val="106A4C1B"/>
    <w:rsid w:val="10BD03C9"/>
    <w:rsid w:val="10DC7FFA"/>
    <w:rsid w:val="10F36AD7"/>
    <w:rsid w:val="11121500"/>
    <w:rsid w:val="11601A42"/>
    <w:rsid w:val="11632FC0"/>
    <w:rsid w:val="11796835"/>
    <w:rsid w:val="11900D86"/>
    <w:rsid w:val="11B80A79"/>
    <w:rsid w:val="11BB0340"/>
    <w:rsid w:val="11CE2007"/>
    <w:rsid w:val="11F87AE1"/>
    <w:rsid w:val="1209541F"/>
    <w:rsid w:val="120E16A0"/>
    <w:rsid w:val="120F1630"/>
    <w:rsid w:val="12174ABE"/>
    <w:rsid w:val="122D37E7"/>
    <w:rsid w:val="12387084"/>
    <w:rsid w:val="128E27E7"/>
    <w:rsid w:val="128E4489"/>
    <w:rsid w:val="12EA7601"/>
    <w:rsid w:val="13137A0F"/>
    <w:rsid w:val="13183C1B"/>
    <w:rsid w:val="132655A2"/>
    <w:rsid w:val="13395257"/>
    <w:rsid w:val="13697CF4"/>
    <w:rsid w:val="136B1A6E"/>
    <w:rsid w:val="137A6109"/>
    <w:rsid w:val="137F0BC4"/>
    <w:rsid w:val="13A21F73"/>
    <w:rsid w:val="13A56489"/>
    <w:rsid w:val="13C06F2A"/>
    <w:rsid w:val="13C07441"/>
    <w:rsid w:val="13D56ED2"/>
    <w:rsid w:val="13FC4692"/>
    <w:rsid w:val="14052B78"/>
    <w:rsid w:val="14250830"/>
    <w:rsid w:val="1428448E"/>
    <w:rsid w:val="143844C0"/>
    <w:rsid w:val="14467C46"/>
    <w:rsid w:val="144B029C"/>
    <w:rsid w:val="144D1F23"/>
    <w:rsid w:val="14563F8D"/>
    <w:rsid w:val="1457016A"/>
    <w:rsid w:val="148A7116"/>
    <w:rsid w:val="14A24D4E"/>
    <w:rsid w:val="14E900B3"/>
    <w:rsid w:val="15422AD5"/>
    <w:rsid w:val="154714A6"/>
    <w:rsid w:val="154D1CF6"/>
    <w:rsid w:val="1550529F"/>
    <w:rsid w:val="156C183F"/>
    <w:rsid w:val="156F5FA5"/>
    <w:rsid w:val="158C17BA"/>
    <w:rsid w:val="15B2147A"/>
    <w:rsid w:val="16210F76"/>
    <w:rsid w:val="16223E19"/>
    <w:rsid w:val="163C32C6"/>
    <w:rsid w:val="16422AD0"/>
    <w:rsid w:val="168D09DF"/>
    <w:rsid w:val="168E40CE"/>
    <w:rsid w:val="16AC08C8"/>
    <w:rsid w:val="16B26FA2"/>
    <w:rsid w:val="16BC2679"/>
    <w:rsid w:val="16EA7F32"/>
    <w:rsid w:val="17290637"/>
    <w:rsid w:val="175C7038"/>
    <w:rsid w:val="175E3A13"/>
    <w:rsid w:val="176333F5"/>
    <w:rsid w:val="179D10D9"/>
    <w:rsid w:val="17B9248A"/>
    <w:rsid w:val="17BA679D"/>
    <w:rsid w:val="17CC3EA2"/>
    <w:rsid w:val="17D6697A"/>
    <w:rsid w:val="17E23611"/>
    <w:rsid w:val="17EB5DED"/>
    <w:rsid w:val="17EE7F80"/>
    <w:rsid w:val="180A142C"/>
    <w:rsid w:val="180B05B9"/>
    <w:rsid w:val="181A09B7"/>
    <w:rsid w:val="1820512D"/>
    <w:rsid w:val="182126BC"/>
    <w:rsid w:val="183C400E"/>
    <w:rsid w:val="187C5E74"/>
    <w:rsid w:val="187F6732"/>
    <w:rsid w:val="18994CD9"/>
    <w:rsid w:val="18AA1A7E"/>
    <w:rsid w:val="18AE1396"/>
    <w:rsid w:val="18B25EF2"/>
    <w:rsid w:val="18D86A72"/>
    <w:rsid w:val="190C1090"/>
    <w:rsid w:val="190E4A70"/>
    <w:rsid w:val="191303BB"/>
    <w:rsid w:val="192551F9"/>
    <w:rsid w:val="19361D4C"/>
    <w:rsid w:val="19362CD2"/>
    <w:rsid w:val="193E6072"/>
    <w:rsid w:val="19487998"/>
    <w:rsid w:val="194B33AC"/>
    <w:rsid w:val="19686977"/>
    <w:rsid w:val="1980487F"/>
    <w:rsid w:val="199B5CBF"/>
    <w:rsid w:val="19A81389"/>
    <w:rsid w:val="19F224DC"/>
    <w:rsid w:val="19F72E16"/>
    <w:rsid w:val="1A1C31EA"/>
    <w:rsid w:val="1A2657AB"/>
    <w:rsid w:val="1A934D0C"/>
    <w:rsid w:val="1A9E2575"/>
    <w:rsid w:val="1AB4701E"/>
    <w:rsid w:val="1AB86F56"/>
    <w:rsid w:val="1ACB622F"/>
    <w:rsid w:val="1AD54BCF"/>
    <w:rsid w:val="1AD84BD1"/>
    <w:rsid w:val="1B035160"/>
    <w:rsid w:val="1B2A119F"/>
    <w:rsid w:val="1B3B19FF"/>
    <w:rsid w:val="1B432250"/>
    <w:rsid w:val="1B59065F"/>
    <w:rsid w:val="1B787772"/>
    <w:rsid w:val="1B856E8E"/>
    <w:rsid w:val="1B9265DE"/>
    <w:rsid w:val="1B9853E0"/>
    <w:rsid w:val="1BA33DCF"/>
    <w:rsid w:val="1BCA4C67"/>
    <w:rsid w:val="1BD6094D"/>
    <w:rsid w:val="1BFE2694"/>
    <w:rsid w:val="1C1074FA"/>
    <w:rsid w:val="1C460FFD"/>
    <w:rsid w:val="1C6E5335"/>
    <w:rsid w:val="1C75793A"/>
    <w:rsid w:val="1C897457"/>
    <w:rsid w:val="1CCC1732"/>
    <w:rsid w:val="1CD35F37"/>
    <w:rsid w:val="1CE842A8"/>
    <w:rsid w:val="1D053FB6"/>
    <w:rsid w:val="1D0A105B"/>
    <w:rsid w:val="1D0E382A"/>
    <w:rsid w:val="1D207C32"/>
    <w:rsid w:val="1D2E247E"/>
    <w:rsid w:val="1D3C777B"/>
    <w:rsid w:val="1D473245"/>
    <w:rsid w:val="1D5C0FD3"/>
    <w:rsid w:val="1D5F6D7A"/>
    <w:rsid w:val="1D8A1588"/>
    <w:rsid w:val="1D9317D6"/>
    <w:rsid w:val="1DAA4E3F"/>
    <w:rsid w:val="1DB251EB"/>
    <w:rsid w:val="1DDC5166"/>
    <w:rsid w:val="1DF53D0E"/>
    <w:rsid w:val="1E3E58A8"/>
    <w:rsid w:val="1E43267C"/>
    <w:rsid w:val="1E475196"/>
    <w:rsid w:val="1E49276A"/>
    <w:rsid w:val="1E543AA9"/>
    <w:rsid w:val="1E855CB4"/>
    <w:rsid w:val="1E99125A"/>
    <w:rsid w:val="1EA071D0"/>
    <w:rsid w:val="1EB905D0"/>
    <w:rsid w:val="1EF5107E"/>
    <w:rsid w:val="1F263E7B"/>
    <w:rsid w:val="1F956CA6"/>
    <w:rsid w:val="1FAF5128"/>
    <w:rsid w:val="1FC96552"/>
    <w:rsid w:val="1FEF4F51"/>
    <w:rsid w:val="20185BC1"/>
    <w:rsid w:val="20193E72"/>
    <w:rsid w:val="205F55A5"/>
    <w:rsid w:val="206741A5"/>
    <w:rsid w:val="20675420"/>
    <w:rsid w:val="20A0374D"/>
    <w:rsid w:val="20BB101A"/>
    <w:rsid w:val="20C64DCF"/>
    <w:rsid w:val="20F55AAF"/>
    <w:rsid w:val="21346676"/>
    <w:rsid w:val="21353AC5"/>
    <w:rsid w:val="21645A5D"/>
    <w:rsid w:val="218A28C1"/>
    <w:rsid w:val="21A11346"/>
    <w:rsid w:val="21BE7BEB"/>
    <w:rsid w:val="21D46587"/>
    <w:rsid w:val="22012FC2"/>
    <w:rsid w:val="220549C5"/>
    <w:rsid w:val="22333F7B"/>
    <w:rsid w:val="223B0848"/>
    <w:rsid w:val="224D69B2"/>
    <w:rsid w:val="224F6E32"/>
    <w:rsid w:val="226773FB"/>
    <w:rsid w:val="228968CF"/>
    <w:rsid w:val="22952705"/>
    <w:rsid w:val="229B6D4A"/>
    <w:rsid w:val="229C07DB"/>
    <w:rsid w:val="22A908A4"/>
    <w:rsid w:val="22CB1E23"/>
    <w:rsid w:val="22D4592F"/>
    <w:rsid w:val="22D63C66"/>
    <w:rsid w:val="22FA7BB1"/>
    <w:rsid w:val="23030E28"/>
    <w:rsid w:val="232F6D1F"/>
    <w:rsid w:val="234462A8"/>
    <w:rsid w:val="23476D89"/>
    <w:rsid w:val="234F1E39"/>
    <w:rsid w:val="23507F43"/>
    <w:rsid w:val="235B2B6D"/>
    <w:rsid w:val="236F16A6"/>
    <w:rsid w:val="238A654B"/>
    <w:rsid w:val="239141EA"/>
    <w:rsid w:val="23931FA1"/>
    <w:rsid w:val="23A45436"/>
    <w:rsid w:val="23A572A1"/>
    <w:rsid w:val="23B14283"/>
    <w:rsid w:val="23CA1602"/>
    <w:rsid w:val="23CA222A"/>
    <w:rsid w:val="23FB327F"/>
    <w:rsid w:val="2404336C"/>
    <w:rsid w:val="241445CA"/>
    <w:rsid w:val="24340842"/>
    <w:rsid w:val="24662244"/>
    <w:rsid w:val="247315A4"/>
    <w:rsid w:val="24774C02"/>
    <w:rsid w:val="247F45A7"/>
    <w:rsid w:val="24914D0C"/>
    <w:rsid w:val="24AD53D4"/>
    <w:rsid w:val="24AE24F5"/>
    <w:rsid w:val="24AF09F2"/>
    <w:rsid w:val="24C91293"/>
    <w:rsid w:val="24CD56A4"/>
    <w:rsid w:val="24D94E2E"/>
    <w:rsid w:val="24DE6157"/>
    <w:rsid w:val="24FF70DA"/>
    <w:rsid w:val="250F43BC"/>
    <w:rsid w:val="252915D3"/>
    <w:rsid w:val="25377F6E"/>
    <w:rsid w:val="254265DA"/>
    <w:rsid w:val="25513DC4"/>
    <w:rsid w:val="25805F91"/>
    <w:rsid w:val="258175E8"/>
    <w:rsid w:val="25902E7D"/>
    <w:rsid w:val="25CC417C"/>
    <w:rsid w:val="25CD61D9"/>
    <w:rsid w:val="25D104EA"/>
    <w:rsid w:val="25D921A9"/>
    <w:rsid w:val="25E57453"/>
    <w:rsid w:val="25E70D77"/>
    <w:rsid w:val="25ED79C2"/>
    <w:rsid w:val="25F16D57"/>
    <w:rsid w:val="261A7652"/>
    <w:rsid w:val="26285B3A"/>
    <w:rsid w:val="26351ED3"/>
    <w:rsid w:val="26473203"/>
    <w:rsid w:val="26561B11"/>
    <w:rsid w:val="267F3653"/>
    <w:rsid w:val="268C6311"/>
    <w:rsid w:val="26AC70C6"/>
    <w:rsid w:val="26B66114"/>
    <w:rsid w:val="26F7634C"/>
    <w:rsid w:val="2709221E"/>
    <w:rsid w:val="271E0AB4"/>
    <w:rsid w:val="27576E27"/>
    <w:rsid w:val="275B6784"/>
    <w:rsid w:val="27694BF3"/>
    <w:rsid w:val="27787CF2"/>
    <w:rsid w:val="27832301"/>
    <w:rsid w:val="2785375A"/>
    <w:rsid w:val="2787425A"/>
    <w:rsid w:val="279141D9"/>
    <w:rsid w:val="27A32287"/>
    <w:rsid w:val="27D52F4D"/>
    <w:rsid w:val="280D3A60"/>
    <w:rsid w:val="284F1F1D"/>
    <w:rsid w:val="285032B8"/>
    <w:rsid w:val="285E5457"/>
    <w:rsid w:val="286B1201"/>
    <w:rsid w:val="286B4045"/>
    <w:rsid w:val="28C14462"/>
    <w:rsid w:val="28F509FE"/>
    <w:rsid w:val="290A6E57"/>
    <w:rsid w:val="29130F00"/>
    <w:rsid w:val="291A14E9"/>
    <w:rsid w:val="294603EC"/>
    <w:rsid w:val="294A4DD2"/>
    <w:rsid w:val="294C44CD"/>
    <w:rsid w:val="2989222E"/>
    <w:rsid w:val="29A90424"/>
    <w:rsid w:val="29B01662"/>
    <w:rsid w:val="29B954D4"/>
    <w:rsid w:val="29FB24C4"/>
    <w:rsid w:val="2A0A05FD"/>
    <w:rsid w:val="2A0F71AF"/>
    <w:rsid w:val="2A2E6E04"/>
    <w:rsid w:val="2A3B1825"/>
    <w:rsid w:val="2A66261E"/>
    <w:rsid w:val="2A666BD3"/>
    <w:rsid w:val="2A6D4989"/>
    <w:rsid w:val="2A6E2D04"/>
    <w:rsid w:val="2A992F38"/>
    <w:rsid w:val="2A9D6945"/>
    <w:rsid w:val="2A9E4343"/>
    <w:rsid w:val="2AA42840"/>
    <w:rsid w:val="2AE03960"/>
    <w:rsid w:val="2AEC0DE9"/>
    <w:rsid w:val="2AFD6112"/>
    <w:rsid w:val="2B001928"/>
    <w:rsid w:val="2B077564"/>
    <w:rsid w:val="2B1D20C8"/>
    <w:rsid w:val="2B3157C2"/>
    <w:rsid w:val="2B52676B"/>
    <w:rsid w:val="2B837BCA"/>
    <w:rsid w:val="2BBF4122"/>
    <w:rsid w:val="2BD039E2"/>
    <w:rsid w:val="2BFF6DCA"/>
    <w:rsid w:val="2C1132FB"/>
    <w:rsid w:val="2C1B43B5"/>
    <w:rsid w:val="2C20315F"/>
    <w:rsid w:val="2C237856"/>
    <w:rsid w:val="2C352609"/>
    <w:rsid w:val="2C56080A"/>
    <w:rsid w:val="2C645393"/>
    <w:rsid w:val="2C7439F7"/>
    <w:rsid w:val="2C9420F7"/>
    <w:rsid w:val="2C9B3BC9"/>
    <w:rsid w:val="2CF4608A"/>
    <w:rsid w:val="2D1E069A"/>
    <w:rsid w:val="2D253C18"/>
    <w:rsid w:val="2D31546A"/>
    <w:rsid w:val="2D4F7CC4"/>
    <w:rsid w:val="2D5E717D"/>
    <w:rsid w:val="2D765CB0"/>
    <w:rsid w:val="2DA74888"/>
    <w:rsid w:val="2DB8657A"/>
    <w:rsid w:val="2DCC4ACD"/>
    <w:rsid w:val="2DD512B8"/>
    <w:rsid w:val="2E2864AF"/>
    <w:rsid w:val="2E531C15"/>
    <w:rsid w:val="2E5C65BC"/>
    <w:rsid w:val="2E83337A"/>
    <w:rsid w:val="2EC42041"/>
    <w:rsid w:val="2EC75C56"/>
    <w:rsid w:val="2ED42908"/>
    <w:rsid w:val="2ED454F8"/>
    <w:rsid w:val="2EFF5ACB"/>
    <w:rsid w:val="2F177156"/>
    <w:rsid w:val="2F352CAA"/>
    <w:rsid w:val="2F3B5D84"/>
    <w:rsid w:val="2F4A58F3"/>
    <w:rsid w:val="2F7E5E88"/>
    <w:rsid w:val="2F8D3D9C"/>
    <w:rsid w:val="2F8D7241"/>
    <w:rsid w:val="2FA076A9"/>
    <w:rsid w:val="2FA47C46"/>
    <w:rsid w:val="301A0002"/>
    <w:rsid w:val="30320746"/>
    <w:rsid w:val="3069714F"/>
    <w:rsid w:val="307D78E9"/>
    <w:rsid w:val="30881421"/>
    <w:rsid w:val="308B2D36"/>
    <w:rsid w:val="30A036ED"/>
    <w:rsid w:val="30A642EC"/>
    <w:rsid w:val="30AA26C6"/>
    <w:rsid w:val="30AE4D85"/>
    <w:rsid w:val="31134756"/>
    <w:rsid w:val="311A4F41"/>
    <w:rsid w:val="312967F0"/>
    <w:rsid w:val="31376F08"/>
    <w:rsid w:val="313976E9"/>
    <w:rsid w:val="314503CA"/>
    <w:rsid w:val="316C4F93"/>
    <w:rsid w:val="31826E30"/>
    <w:rsid w:val="318E5C1C"/>
    <w:rsid w:val="31D22B9D"/>
    <w:rsid w:val="31F15525"/>
    <w:rsid w:val="32192AF6"/>
    <w:rsid w:val="323C5E04"/>
    <w:rsid w:val="328B2CEB"/>
    <w:rsid w:val="32996B4D"/>
    <w:rsid w:val="32A904A7"/>
    <w:rsid w:val="32C378D8"/>
    <w:rsid w:val="32C866CC"/>
    <w:rsid w:val="32D61860"/>
    <w:rsid w:val="32E01C49"/>
    <w:rsid w:val="32E572EC"/>
    <w:rsid w:val="32EA11F1"/>
    <w:rsid w:val="33072A8F"/>
    <w:rsid w:val="330F45BC"/>
    <w:rsid w:val="33195E37"/>
    <w:rsid w:val="336055F3"/>
    <w:rsid w:val="3380047C"/>
    <w:rsid w:val="339A0A0F"/>
    <w:rsid w:val="33B200A9"/>
    <w:rsid w:val="33C51A72"/>
    <w:rsid w:val="33DD2D1F"/>
    <w:rsid w:val="34262707"/>
    <w:rsid w:val="34587F04"/>
    <w:rsid w:val="34844189"/>
    <w:rsid w:val="34857FA3"/>
    <w:rsid w:val="348F254C"/>
    <w:rsid w:val="34A51F47"/>
    <w:rsid w:val="34B4733C"/>
    <w:rsid w:val="34C82375"/>
    <w:rsid w:val="34DC268F"/>
    <w:rsid w:val="34E66EA0"/>
    <w:rsid w:val="34FA2176"/>
    <w:rsid w:val="350E3A8A"/>
    <w:rsid w:val="35184FD1"/>
    <w:rsid w:val="351E2138"/>
    <w:rsid w:val="352E4F36"/>
    <w:rsid w:val="35445297"/>
    <w:rsid w:val="358135A9"/>
    <w:rsid w:val="35965281"/>
    <w:rsid w:val="35A61154"/>
    <w:rsid w:val="35D438A7"/>
    <w:rsid w:val="35E907E7"/>
    <w:rsid w:val="3604521C"/>
    <w:rsid w:val="3612142C"/>
    <w:rsid w:val="36121FD6"/>
    <w:rsid w:val="362B48EF"/>
    <w:rsid w:val="36336B35"/>
    <w:rsid w:val="363C0D18"/>
    <w:rsid w:val="36403694"/>
    <w:rsid w:val="3650042A"/>
    <w:rsid w:val="366652B8"/>
    <w:rsid w:val="366B1F45"/>
    <w:rsid w:val="368C5E8E"/>
    <w:rsid w:val="37085788"/>
    <w:rsid w:val="37230AD2"/>
    <w:rsid w:val="373423BB"/>
    <w:rsid w:val="373B59A5"/>
    <w:rsid w:val="373D4C6F"/>
    <w:rsid w:val="37525D06"/>
    <w:rsid w:val="376D0FF4"/>
    <w:rsid w:val="377A26DB"/>
    <w:rsid w:val="379A4EF3"/>
    <w:rsid w:val="37D067A7"/>
    <w:rsid w:val="37F024D9"/>
    <w:rsid w:val="38214D04"/>
    <w:rsid w:val="38A01478"/>
    <w:rsid w:val="38A7058F"/>
    <w:rsid w:val="38B33064"/>
    <w:rsid w:val="38B669F2"/>
    <w:rsid w:val="38E4205E"/>
    <w:rsid w:val="38FB71CD"/>
    <w:rsid w:val="38FC4F55"/>
    <w:rsid w:val="390E0262"/>
    <w:rsid w:val="39187722"/>
    <w:rsid w:val="391B1354"/>
    <w:rsid w:val="391B66A7"/>
    <w:rsid w:val="392D266D"/>
    <w:rsid w:val="394B58E3"/>
    <w:rsid w:val="397C2BB5"/>
    <w:rsid w:val="398B5316"/>
    <w:rsid w:val="39C5102A"/>
    <w:rsid w:val="39D0456C"/>
    <w:rsid w:val="39D049A7"/>
    <w:rsid w:val="39D9079F"/>
    <w:rsid w:val="39FD0AAE"/>
    <w:rsid w:val="3A0458D2"/>
    <w:rsid w:val="3A3D6AFC"/>
    <w:rsid w:val="3A413A43"/>
    <w:rsid w:val="3A413D14"/>
    <w:rsid w:val="3A551B23"/>
    <w:rsid w:val="3A713201"/>
    <w:rsid w:val="3A8C19CF"/>
    <w:rsid w:val="3AC13B86"/>
    <w:rsid w:val="3ADC62D4"/>
    <w:rsid w:val="3AEB188C"/>
    <w:rsid w:val="3AEF10C5"/>
    <w:rsid w:val="3B493CBA"/>
    <w:rsid w:val="3B5D1C49"/>
    <w:rsid w:val="3BA87207"/>
    <w:rsid w:val="3BAD44EF"/>
    <w:rsid w:val="3BB11E6C"/>
    <w:rsid w:val="3BB5781A"/>
    <w:rsid w:val="3BE23BF8"/>
    <w:rsid w:val="3BE42F26"/>
    <w:rsid w:val="3BEC47B2"/>
    <w:rsid w:val="3BFF2018"/>
    <w:rsid w:val="3C037258"/>
    <w:rsid w:val="3C304B60"/>
    <w:rsid w:val="3C3E77F6"/>
    <w:rsid w:val="3C40357F"/>
    <w:rsid w:val="3C4F423C"/>
    <w:rsid w:val="3C5B0BA9"/>
    <w:rsid w:val="3C670D1B"/>
    <w:rsid w:val="3C947DEF"/>
    <w:rsid w:val="3CAF6FC8"/>
    <w:rsid w:val="3CBA7494"/>
    <w:rsid w:val="3CC23247"/>
    <w:rsid w:val="3CCC2A34"/>
    <w:rsid w:val="3CD030E4"/>
    <w:rsid w:val="3CEC203D"/>
    <w:rsid w:val="3D061C54"/>
    <w:rsid w:val="3D09593B"/>
    <w:rsid w:val="3D200D42"/>
    <w:rsid w:val="3D240211"/>
    <w:rsid w:val="3D514F00"/>
    <w:rsid w:val="3D81492F"/>
    <w:rsid w:val="3D8352D5"/>
    <w:rsid w:val="3D8A3296"/>
    <w:rsid w:val="3D8C492D"/>
    <w:rsid w:val="3DB43BA3"/>
    <w:rsid w:val="3DB473AE"/>
    <w:rsid w:val="3DD97293"/>
    <w:rsid w:val="3DDB59C3"/>
    <w:rsid w:val="3DFE0BB1"/>
    <w:rsid w:val="3E0A25D2"/>
    <w:rsid w:val="3E0F009D"/>
    <w:rsid w:val="3E196DF2"/>
    <w:rsid w:val="3E38364E"/>
    <w:rsid w:val="3E6C3837"/>
    <w:rsid w:val="3E746D63"/>
    <w:rsid w:val="3E850AB9"/>
    <w:rsid w:val="3E94148E"/>
    <w:rsid w:val="3EE01280"/>
    <w:rsid w:val="3EF15120"/>
    <w:rsid w:val="3EF51F26"/>
    <w:rsid w:val="3F0A5C35"/>
    <w:rsid w:val="3F23208A"/>
    <w:rsid w:val="3F37197A"/>
    <w:rsid w:val="3F463820"/>
    <w:rsid w:val="3F4C5619"/>
    <w:rsid w:val="3F6B6C23"/>
    <w:rsid w:val="3F7F5307"/>
    <w:rsid w:val="3FA36BF9"/>
    <w:rsid w:val="3FC13367"/>
    <w:rsid w:val="40024BC2"/>
    <w:rsid w:val="40122082"/>
    <w:rsid w:val="40240F89"/>
    <w:rsid w:val="40A46B8A"/>
    <w:rsid w:val="40B2295D"/>
    <w:rsid w:val="40B32392"/>
    <w:rsid w:val="40B50E50"/>
    <w:rsid w:val="40E251F4"/>
    <w:rsid w:val="40E535A3"/>
    <w:rsid w:val="40E73ACD"/>
    <w:rsid w:val="41062798"/>
    <w:rsid w:val="412409DB"/>
    <w:rsid w:val="41397D08"/>
    <w:rsid w:val="41520C49"/>
    <w:rsid w:val="41773121"/>
    <w:rsid w:val="417D3DE6"/>
    <w:rsid w:val="41940DDD"/>
    <w:rsid w:val="41A6431C"/>
    <w:rsid w:val="41F35BAC"/>
    <w:rsid w:val="42217B67"/>
    <w:rsid w:val="42310CA7"/>
    <w:rsid w:val="42DD6873"/>
    <w:rsid w:val="430B638F"/>
    <w:rsid w:val="431C5C2D"/>
    <w:rsid w:val="436D047F"/>
    <w:rsid w:val="438748EF"/>
    <w:rsid w:val="43AA6464"/>
    <w:rsid w:val="43FD03FF"/>
    <w:rsid w:val="440006B5"/>
    <w:rsid w:val="440D6D4B"/>
    <w:rsid w:val="44217C83"/>
    <w:rsid w:val="44660EB5"/>
    <w:rsid w:val="446923F7"/>
    <w:rsid w:val="44875711"/>
    <w:rsid w:val="449340C4"/>
    <w:rsid w:val="44C86AAC"/>
    <w:rsid w:val="44CA242F"/>
    <w:rsid w:val="44CA32F7"/>
    <w:rsid w:val="44DF56E6"/>
    <w:rsid w:val="44F25A59"/>
    <w:rsid w:val="45B90B48"/>
    <w:rsid w:val="46163033"/>
    <w:rsid w:val="46670515"/>
    <w:rsid w:val="467B0332"/>
    <w:rsid w:val="46BB071B"/>
    <w:rsid w:val="46BF208F"/>
    <w:rsid w:val="46C27154"/>
    <w:rsid w:val="46CB1D8A"/>
    <w:rsid w:val="46E44FE1"/>
    <w:rsid w:val="4713701D"/>
    <w:rsid w:val="472C328E"/>
    <w:rsid w:val="47392A3A"/>
    <w:rsid w:val="476A6681"/>
    <w:rsid w:val="476B776A"/>
    <w:rsid w:val="47731BFC"/>
    <w:rsid w:val="47891385"/>
    <w:rsid w:val="47892946"/>
    <w:rsid w:val="479557D8"/>
    <w:rsid w:val="479A4EA3"/>
    <w:rsid w:val="47C80031"/>
    <w:rsid w:val="47CB053E"/>
    <w:rsid w:val="47CF5DDA"/>
    <w:rsid w:val="47D4105D"/>
    <w:rsid w:val="47E201CE"/>
    <w:rsid w:val="47E70E32"/>
    <w:rsid w:val="47FD0FFA"/>
    <w:rsid w:val="48031317"/>
    <w:rsid w:val="48060B3C"/>
    <w:rsid w:val="481406F4"/>
    <w:rsid w:val="48220B2A"/>
    <w:rsid w:val="489D5D47"/>
    <w:rsid w:val="48A8162E"/>
    <w:rsid w:val="48AB5C1B"/>
    <w:rsid w:val="48D25FD9"/>
    <w:rsid w:val="48DF7812"/>
    <w:rsid w:val="48E87EBD"/>
    <w:rsid w:val="48FC2AE5"/>
    <w:rsid w:val="49166A23"/>
    <w:rsid w:val="493468D6"/>
    <w:rsid w:val="498522D4"/>
    <w:rsid w:val="49987A28"/>
    <w:rsid w:val="499D7C4A"/>
    <w:rsid w:val="499F25DB"/>
    <w:rsid w:val="49B5291D"/>
    <w:rsid w:val="49BE7B1F"/>
    <w:rsid w:val="49D4733D"/>
    <w:rsid w:val="49D6306E"/>
    <w:rsid w:val="4A0155A6"/>
    <w:rsid w:val="4A2A5B99"/>
    <w:rsid w:val="4A470778"/>
    <w:rsid w:val="4A684286"/>
    <w:rsid w:val="4AA53C08"/>
    <w:rsid w:val="4AB05B58"/>
    <w:rsid w:val="4AB90546"/>
    <w:rsid w:val="4AE00DC9"/>
    <w:rsid w:val="4AFF6A5E"/>
    <w:rsid w:val="4B411E26"/>
    <w:rsid w:val="4B744C54"/>
    <w:rsid w:val="4B9B6D58"/>
    <w:rsid w:val="4BAB046D"/>
    <w:rsid w:val="4BEB39D1"/>
    <w:rsid w:val="4BEE30E7"/>
    <w:rsid w:val="4BF7491D"/>
    <w:rsid w:val="4BFC0915"/>
    <w:rsid w:val="4C486C01"/>
    <w:rsid w:val="4C5152B7"/>
    <w:rsid w:val="4C54029E"/>
    <w:rsid w:val="4C5D21E2"/>
    <w:rsid w:val="4C63338E"/>
    <w:rsid w:val="4C7A20E3"/>
    <w:rsid w:val="4CA854F0"/>
    <w:rsid w:val="4CEF445F"/>
    <w:rsid w:val="4D5F358E"/>
    <w:rsid w:val="4D946590"/>
    <w:rsid w:val="4DA76A46"/>
    <w:rsid w:val="4DE156B3"/>
    <w:rsid w:val="4DEB794F"/>
    <w:rsid w:val="4E15741C"/>
    <w:rsid w:val="4E2E2B91"/>
    <w:rsid w:val="4E5307CA"/>
    <w:rsid w:val="4E904B1F"/>
    <w:rsid w:val="4E954DDF"/>
    <w:rsid w:val="4EC50AEF"/>
    <w:rsid w:val="4ED077DC"/>
    <w:rsid w:val="4EFA1AB4"/>
    <w:rsid w:val="4EFD0D0F"/>
    <w:rsid w:val="4F18636C"/>
    <w:rsid w:val="4F1A2B37"/>
    <w:rsid w:val="4F2938BB"/>
    <w:rsid w:val="4F397766"/>
    <w:rsid w:val="4F6335B2"/>
    <w:rsid w:val="4F653860"/>
    <w:rsid w:val="4F6D1D66"/>
    <w:rsid w:val="4F8D2275"/>
    <w:rsid w:val="4F9544C7"/>
    <w:rsid w:val="4FC03CA9"/>
    <w:rsid w:val="4FC07444"/>
    <w:rsid w:val="4FE22ADA"/>
    <w:rsid w:val="50086DAB"/>
    <w:rsid w:val="502340BF"/>
    <w:rsid w:val="50251F0B"/>
    <w:rsid w:val="50340C2A"/>
    <w:rsid w:val="503A2293"/>
    <w:rsid w:val="5045131F"/>
    <w:rsid w:val="506176D1"/>
    <w:rsid w:val="506A4F48"/>
    <w:rsid w:val="5076586D"/>
    <w:rsid w:val="50911E77"/>
    <w:rsid w:val="50BB7718"/>
    <w:rsid w:val="50BF50EC"/>
    <w:rsid w:val="51085897"/>
    <w:rsid w:val="510E2713"/>
    <w:rsid w:val="510F51F2"/>
    <w:rsid w:val="512B01F7"/>
    <w:rsid w:val="512B4ABD"/>
    <w:rsid w:val="51AD14BB"/>
    <w:rsid w:val="52186CA6"/>
    <w:rsid w:val="52254EEE"/>
    <w:rsid w:val="522F21C5"/>
    <w:rsid w:val="524C5E63"/>
    <w:rsid w:val="52886D84"/>
    <w:rsid w:val="52CE1D80"/>
    <w:rsid w:val="53055654"/>
    <w:rsid w:val="531279BB"/>
    <w:rsid w:val="53141176"/>
    <w:rsid w:val="531B18A9"/>
    <w:rsid w:val="532A0507"/>
    <w:rsid w:val="53302BD5"/>
    <w:rsid w:val="534E3A78"/>
    <w:rsid w:val="535406C1"/>
    <w:rsid w:val="535856D4"/>
    <w:rsid w:val="537F1C03"/>
    <w:rsid w:val="5382068F"/>
    <w:rsid w:val="53A1577B"/>
    <w:rsid w:val="53BB2078"/>
    <w:rsid w:val="54284D6A"/>
    <w:rsid w:val="543B276A"/>
    <w:rsid w:val="543E7141"/>
    <w:rsid w:val="54434AAB"/>
    <w:rsid w:val="545055CB"/>
    <w:rsid w:val="545D27A6"/>
    <w:rsid w:val="54A1344D"/>
    <w:rsid w:val="54A22F54"/>
    <w:rsid w:val="54A94054"/>
    <w:rsid w:val="54B80F91"/>
    <w:rsid w:val="54D421E2"/>
    <w:rsid w:val="54E173FC"/>
    <w:rsid w:val="55193CA7"/>
    <w:rsid w:val="55984B3D"/>
    <w:rsid w:val="559F7531"/>
    <w:rsid w:val="55B6024F"/>
    <w:rsid w:val="55C411EC"/>
    <w:rsid w:val="55E156E1"/>
    <w:rsid w:val="567F51C0"/>
    <w:rsid w:val="56B555F4"/>
    <w:rsid w:val="56C754A5"/>
    <w:rsid w:val="56D73628"/>
    <w:rsid w:val="56DD2B16"/>
    <w:rsid w:val="57042BC6"/>
    <w:rsid w:val="57056DF3"/>
    <w:rsid w:val="57267A41"/>
    <w:rsid w:val="57375785"/>
    <w:rsid w:val="573A1530"/>
    <w:rsid w:val="573E57FA"/>
    <w:rsid w:val="57414B80"/>
    <w:rsid w:val="575C4B43"/>
    <w:rsid w:val="57BB0E19"/>
    <w:rsid w:val="57CB0C9A"/>
    <w:rsid w:val="57D43A5A"/>
    <w:rsid w:val="57DB42F1"/>
    <w:rsid w:val="57DC7D3A"/>
    <w:rsid w:val="58132EF7"/>
    <w:rsid w:val="58330D1C"/>
    <w:rsid w:val="58562280"/>
    <w:rsid w:val="585D4CFB"/>
    <w:rsid w:val="58924D7D"/>
    <w:rsid w:val="589F1878"/>
    <w:rsid w:val="58D009A0"/>
    <w:rsid w:val="58E51E0F"/>
    <w:rsid w:val="59104DB1"/>
    <w:rsid w:val="593E6411"/>
    <w:rsid w:val="595B535C"/>
    <w:rsid w:val="596C3ECC"/>
    <w:rsid w:val="59C10FE9"/>
    <w:rsid w:val="59E979D6"/>
    <w:rsid w:val="59ED4265"/>
    <w:rsid w:val="5A3D2AE2"/>
    <w:rsid w:val="5A663112"/>
    <w:rsid w:val="5A7D2208"/>
    <w:rsid w:val="5A835E2D"/>
    <w:rsid w:val="5A8C31BC"/>
    <w:rsid w:val="5A8D15DB"/>
    <w:rsid w:val="5A9B16DE"/>
    <w:rsid w:val="5ABE2392"/>
    <w:rsid w:val="5AD17240"/>
    <w:rsid w:val="5AF976F5"/>
    <w:rsid w:val="5AFC560F"/>
    <w:rsid w:val="5B02049E"/>
    <w:rsid w:val="5B1D2960"/>
    <w:rsid w:val="5B22365C"/>
    <w:rsid w:val="5B4E3425"/>
    <w:rsid w:val="5B505906"/>
    <w:rsid w:val="5B544BCA"/>
    <w:rsid w:val="5B5910C3"/>
    <w:rsid w:val="5B71372D"/>
    <w:rsid w:val="5B792FA1"/>
    <w:rsid w:val="5B832ECB"/>
    <w:rsid w:val="5BA932FD"/>
    <w:rsid w:val="5BAA5E4F"/>
    <w:rsid w:val="5BF22FC6"/>
    <w:rsid w:val="5BF41B96"/>
    <w:rsid w:val="5BFC16C8"/>
    <w:rsid w:val="5C356427"/>
    <w:rsid w:val="5C543947"/>
    <w:rsid w:val="5C5F100A"/>
    <w:rsid w:val="5C680697"/>
    <w:rsid w:val="5C8E744B"/>
    <w:rsid w:val="5CBE59D3"/>
    <w:rsid w:val="5CCF7D3D"/>
    <w:rsid w:val="5CD63885"/>
    <w:rsid w:val="5D146A78"/>
    <w:rsid w:val="5D154455"/>
    <w:rsid w:val="5D2523C5"/>
    <w:rsid w:val="5D5B4927"/>
    <w:rsid w:val="5D6B238B"/>
    <w:rsid w:val="5D75271C"/>
    <w:rsid w:val="5D7F1C7A"/>
    <w:rsid w:val="5DA64E8E"/>
    <w:rsid w:val="5DB43A93"/>
    <w:rsid w:val="5DCD5EA7"/>
    <w:rsid w:val="5DFA0096"/>
    <w:rsid w:val="5E104EA2"/>
    <w:rsid w:val="5E413BB9"/>
    <w:rsid w:val="5E4563B6"/>
    <w:rsid w:val="5E772B01"/>
    <w:rsid w:val="5E835022"/>
    <w:rsid w:val="5EC7063D"/>
    <w:rsid w:val="5ED77A80"/>
    <w:rsid w:val="5ED871CC"/>
    <w:rsid w:val="5EDD0B0F"/>
    <w:rsid w:val="5EDE754C"/>
    <w:rsid w:val="5EE5693B"/>
    <w:rsid w:val="5EE9278E"/>
    <w:rsid w:val="5EF55144"/>
    <w:rsid w:val="5F117D15"/>
    <w:rsid w:val="5F3575EC"/>
    <w:rsid w:val="5F3945E8"/>
    <w:rsid w:val="5F3F77F3"/>
    <w:rsid w:val="5F7016AD"/>
    <w:rsid w:val="5F8238CA"/>
    <w:rsid w:val="5F892A9A"/>
    <w:rsid w:val="5F8F6D88"/>
    <w:rsid w:val="5FAF2323"/>
    <w:rsid w:val="5FB32D4A"/>
    <w:rsid w:val="5FB34F76"/>
    <w:rsid w:val="5FC15D30"/>
    <w:rsid w:val="5FE94FB9"/>
    <w:rsid w:val="601020D3"/>
    <w:rsid w:val="60197A66"/>
    <w:rsid w:val="606B1F9B"/>
    <w:rsid w:val="606C3287"/>
    <w:rsid w:val="607467E6"/>
    <w:rsid w:val="607B20EE"/>
    <w:rsid w:val="607F2918"/>
    <w:rsid w:val="607F630A"/>
    <w:rsid w:val="60A33371"/>
    <w:rsid w:val="60AF0F07"/>
    <w:rsid w:val="60AF33CD"/>
    <w:rsid w:val="60BF7035"/>
    <w:rsid w:val="60C03A75"/>
    <w:rsid w:val="60D076AF"/>
    <w:rsid w:val="61074B2C"/>
    <w:rsid w:val="611F20D1"/>
    <w:rsid w:val="61402804"/>
    <w:rsid w:val="61540F2F"/>
    <w:rsid w:val="61590CF6"/>
    <w:rsid w:val="61640D85"/>
    <w:rsid w:val="616B2D09"/>
    <w:rsid w:val="617F117B"/>
    <w:rsid w:val="618D56B1"/>
    <w:rsid w:val="618E5A8B"/>
    <w:rsid w:val="61922AFE"/>
    <w:rsid w:val="619E6659"/>
    <w:rsid w:val="61D53DD7"/>
    <w:rsid w:val="61E12202"/>
    <w:rsid w:val="61E85ACF"/>
    <w:rsid w:val="62083515"/>
    <w:rsid w:val="621B5382"/>
    <w:rsid w:val="62661F7A"/>
    <w:rsid w:val="626E5C32"/>
    <w:rsid w:val="628E6A01"/>
    <w:rsid w:val="62904726"/>
    <w:rsid w:val="62B0628B"/>
    <w:rsid w:val="62F9751E"/>
    <w:rsid w:val="631817F6"/>
    <w:rsid w:val="63273414"/>
    <w:rsid w:val="63542877"/>
    <w:rsid w:val="635D53DE"/>
    <w:rsid w:val="636D73B2"/>
    <w:rsid w:val="638B337E"/>
    <w:rsid w:val="6396020A"/>
    <w:rsid w:val="639A3E5B"/>
    <w:rsid w:val="639D3514"/>
    <w:rsid w:val="63A33EEF"/>
    <w:rsid w:val="63BB3ADE"/>
    <w:rsid w:val="63D20EE9"/>
    <w:rsid w:val="63E922F9"/>
    <w:rsid w:val="63ED38B5"/>
    <w:rsid w:val="63F14DD0"/>
    <w:rsid w:val="640A4BF9"/>
    <w:rsid w:val="640C4CBB"/>
    <w:rsid w:val="644071A4"/>
    <w:rsid w:val="6463410B"/>
    <w:rsid w:val="646D3F62"/>
    <w:rsid w:val="64701233"/>
    <w:rsid w:val="64A0298E"/>
    <w:rsid w:val="64A422EC"/>
    <w:rsid w:val="64D32942"/>
    <w:rsid w:val="64E52218"/>
    <w:rsid w:val="650C0849"/>
    <w:rsid w:val="65341F7B"/>
    <w:rsid w:val="653F2339"/>
    <w:rsid w:val="6540511A"/>
    <w:rsid w:val="655C1341"/>
    <w:rsid w:val="65713C13"/>
    <w:rsid w:val="658A70BB"/>
    <w:rsid w:val="65C26D7E"/>
    <w:rsid w:val="65C606D8"/>
    <w:rsid w:val="65FA0A26"/>
    <w:rsid w:val="660060CB"/>
    <w:rsid w:val="66492DF9"/>
    <w:rsid w:val="66BD20BA"/>
    <w:rsid w:val="66C67774"/>
    <w:rsid w:val="66CE67FB"/>
    <w:rsid w:val="66CF5083"/>
    <w:rsid w:val="66D95D0D"/>
    <w:rsid w:val="66F2149F"/>
    <w:rsid w:val="673718D2"/>
    <w:rsid w:val="674072BF"/>
    <w:rsid w:val="67515CD5"/>
    <w:rsid w:val="67811533"/>
    <w:rsid w:val="678F75B3"/>
    <w:rsid w:val="67956840"/>
    <w:rsid w:val="67E0052E"/>
    <w:rsid w:val="67E64B5E"/>
    <w:rsid w:val="67F042A6"/>
    <w:rsid w:val="68114957"/>
    <w:rsid w:val="681B35F8"/>
    <w:rsid w:val="682843D4"/>
    <w:rsid w:val="682A17F5"/>
    <w:rsid w:val="68314ED3"/>
    <w:rsid w:val="683546D6"/>
    <w:rsid w:val="68735139"/>
    <w:rsid w:val="68816D7B"/>
    <w:rsid w:val="68A44F05"/>
    <w:rsid w:val="68B9527B"/>
    <w:rsid w:val="68DA599F"/>
    <w:rsid w:val="690C1FF9"/>
    <w:rsid w:val="691E4C71"/>
    <w:rsid w:val="69347C5B"/>
    <w:rsid w:val="693D1CB5"/>
    <w:rsid w:val="69E37D2D"/>
    <w:rsid w:val="69FF3AC9"/>
    <w:rsid w:val="6A0B4AF4"/>
    <w:rsid w:val="6A201C4E"/>
    <w:rsid w:val="6A235EA7"/>
    <w:rsid w:val="6A6F72A4"/>
    <w:rsid w:val="6A7D3DDD"/>
    <w:rsid w:val="6A810ADE"/>
    <w:rsid w:val="6AAF1322"/>
    <w:rsid w:val="6ABF4A24"/>
    <w:rsid w:val="6ACA0BF5"/>
    <w:rsid w:val="6AD80589"/>
    <w:rsid w:val="6B523989"/>
    <w:rsid w:val="6B5275DD"/>
    <w:rsid w:val="6B8E7D65"/>
    <w:rsid w:val="6BA94B95"/>
    <w:rsid w:val="6BC14DDF"/>
    <w:rsid w:val="6BC8195B"/>
    <w:rsid w:val="6BD07FC3"/>
    <w:rsid w:val="6BFB15DB"/>
    <w:rsid w:val="6C17656C"/>
    <w:rsid w:val="6C19304C"/>
    <w:rsid w:val="6C2958FC"/>
    <w:rsid w:val="6C4E489F"/>
    <w:rsid w:val="6C6C20EE"/>
    <w:rsid w:val="6CA90E07"/>
    <w:rsid w:val="6CAC2901"/>
    <w:rsid w:val="6CBC6EDB"/>
    <w:rsid w:val="6CF03199"/>
    <w:rsid w:val="6D3C30DC"/>
    <w:rsid w:val="6D3D47A4"/>
    <w:rsid w:val="6D5F12AA"/>
    <w:rsid w:val="6D952556"/>
    <w:rsid w:val="6DC45408"/>
    <w:rsid w:val="6DD50BCE"/>
    <w:rsid w:val="6DD863A4"/>
    <w:rsid w:val="6DDD5017"/>
    <w:rsid w:val="6DE3779F"/>
    <w:rsid w:val="6E226FEC"/>
    <w:rsid w:val="6E317409"/>
    <w:rsid w:val="6E435411"/>
    <w:rsid w:val="6E610FA5"/>
    <w:rsid w:val="6E6550D8"/>
    <w:rsid w:val="6E7523BF"/>
    <w:rsid w:val="6E966769"/>
    <w:rsid w:val="6E973F9B"/>
    <w:rsid w:val="6EAA2436"/>
    <w:rsid w:val="6EC64157"/>
    <w:rsid w:val="6F3B7BC3"/>
    <w:rsid w:val="6F7A2BFE"/>
    <w:rsid w:val="6F956418"/>
    <w:rsid w:val="6FA678D7"/>
    <w:rsid w:val="6FD527A1"/>
    <w:rsid w:val="70094468"/>
    <w:rsid w:val="703B6064"/>
    <w:rsid w:val="70473A60"/>
    <w:rsid w:val="706C2BC9"/>
    <w:rsid w:val="70781557"/>
    <w:rsid w:val="707920C3"/>
    <w:rsid w:val="70A05883"/>
    <w:rsid w:val="70B75733"/>
    <w:rsid w:val="70B82917"/>
    <w:rsid w:val="710358DF"/>
    <w:rsid w:val="712778E3"/>
    <w:rsid w:val="713D3965"/>
    <w:rsid w:val="71453340"/>
    <w:rsid w:val="714A02D7"/>
    <w:rsid w:val="71755457"/>
    <w:rsid w:val="71A57920"/>
    <w:rsid w:val="71C16647"/>
    <w:rsid w:val="71CD1B66"/>
    <w:rsid w:val="71DC3B27"/>
    <w:rsid w:val="71F80671"/>
    <w:rsid w:val="71F94B2A"/>
    <w:rsid w:val="721C62B3"/>
    <w:rsid w:val="724B48F1"/>
    <w:rsid w:val="7262497D"/>
    <w:rsid w:val="72675569"/>
    <w:rsid w:val="72763B61"/>
    <w:rsid w:val="727F6E62"/>
    <w:rsid w:val="72CC17CA"/>
    <w:rsid w:val="72E04962"/>
    <w:rsid w:val="72EE0705"/>
    <w:rsid w:val="72EE0BE9"/>
    <w:rsid w:val="731A5C96"/>
    <w:rsid w:val="733525AE"/>
    <w:rsid w:val="73495D03"/>
    <w:rsid w:val="735A26E0"/>
    <w:rsid w:val="73604CC9"/>
    <w:rsid w:val="73812D4F"/>
    <w:rsid w:val="73C475A4"/>
    <w:rsid w:val="73C8468F"/>
    <w:rsid w:val="73D06507"/>
    <w:rsid w:val="73DB7DDC"/>
    <w:rsid w:val="73E03BD4"/>
    <w:rsid w:val="73E72233"/>
    <w:rsid w:val="73E856FA"/>
    <w:rsid w:val="740A1881"/>
    <w:rsid w:val="742D4090"/>
    <w:rsid w:val="744F29CB"/>
    <w:rsid w:val="748D222D"/>
    <w:rsid w:val="74B67A9A"/>
    <w:rsid w:val="74B91DE3"/>
    <w:rsid w:val="74BB510E"/>
    <w:rsid w:val="751F04AC"/>
    <w:rsid w:val="754023FF"/>
    <w:rsid w:val="754A14A2"/>
    <w:rsid w:val="75921CEB"/>
    <w:rsid w:val="75A0441A"/>
    <w:rsid w:val="75C91B42"/>
    <w:rsid w:val="75CD4AD3"/>
    <w:rsid w:val="75D120EB"/>
    <w:rsid w:val="75ED687C"/>
    <w:rsid w:val="76085B36"/>
    <w:rsid w:val="7609105F"/>
    <w:rsid w:val="76241941"/>
    <w:rsid w:val="762B6A28"/>
    <w:rsid w:val="763703E4"/>
    <w:rsid w:val="763E1354"/>
    <w:rsid w:val="766E64DB"/>
    <w:rsid w:val="76703500"/>
    <w:rsid w:val="76732D1E"/>
    <w:rsid w:val="76D74AD4"/>
    <w:rsid w:val="77013E25"/>
    <w:rsid w:val="772F460B"/>
    <w:rsid w:val="773A0571"/>
    <w:rsid w:val="779E6C12"/>
    <w:rsid w:val="77A8124D"/>
    <w:rsid w:val="77B16162"/>
    <w:rsid w:val="77C72204"/>
    <w:rsid w:val="77CC7105"/>
    <w:rsid w:val="77E11C15"/>
    <w:rsid w:val="77FA4E68"/>
    <w:rsid w:val="783B563C"/>
    <w:rsid w:val="78534063"/>
    <w:rsid w:val="786851C2"/>
    <w:rsid w:val="78793453"/>
    <w:rsid w:val="78852241"/>
    <w:rsid w:val="789326A7"/>
    <w:rsid w:val="78A147D8"/>
    <w:rsid w:val="78A956A5"/>
    <w:rsid w:val="78AF4E7A"/>
    <w:rsid w:val="78B37735"/>
    <w:rsid w:val="78BD52D8"/>
    <w:rsid w:val="78D83E8A"/>
    <w:rsid w:val="78F46178"/>
    <w:rsid w:val="79397CA5"/>
    <w:rsid w:val="79504628"/>
    <w:rsid w:val="79635225"/>
    <w:rsid w:val="79A1658B"/>
    <w:rsid w:val="79A668B5"/>
    <w:rsid w:val="79C52F28"/>
    <w:rsid w:val="79E120DE"/>
    <w:rsid w:val="7A081EF4"/>
    <w:rsid w:val="7A2A4905"/>
    <w:rsid w:val="7A3F4828"/>
    <w:rsid w:val="7A574882"/>
    <w:rsid w:val="7A5E7D4D"/>
    <w:rsid w:val="7A687E45"/>
    <w:rsid w:val="7A98238A"/>
    <w:rsid w:val="7AC66792"/>
    <w:rsid w:val="7B156BAA"/>
    <w:rsid w:val="7B164998"/>
    <w:rsid w:val="7B2A664E"/>
    <w:rsid w:val="7B3A2898"/>
    <w:rsid w:val="7B786E05"/>
    <w:rsid w:val="7B856413"/>
    <w:rsid w:val="7B86670A"/>
    <w:rsid w:val="7B886D60"/>
    <w:rsid w:val="7BBF32B8"/>
    <w:rsid w:val="7BE31C8F"/>
    <w:rsid w:val="7BF46376"/>
    <w:rsid w:val="7BF50E76"/>
    <w:rsid w:val="7BFC4E79"/>
    <w:rsid w:val="7C09075B"/>
    <w:rsid w:val="7C0F46A7"/>
    <w:rsid w:val="7C412227"/>
    <w:rsid w:val="7C45287A"/>
    <w:rsid w:val="7C603D44"/>
    <w:rsid w:val="7C7D0917"/>
    <w:rsid w:val="7C826F76"/>
    <w:rsid w:val="7CB03DAC"/>
    <w:rsid w:val="7CC15A04"/>
    <w:rsid w:val="7CC16FE3"/>
    <w:rsid w:val="7CF42C3E"/>
    <w:rsid w:val="7D125009"/>
    <w:rsid w:val="7D143C1C"/>
    <w:rsid w:val="7D2C2D02"/>
    <w:rsid w:val="7D347B3B"/>
    <w:rsid w:val="7D5E6C60"/>
    <w:rsid w:val="7D8F3CCC"/>
    <w:rsid w:val="7DA5119B"/>
    <w:rsid w:val="7DB9100E"/>
    <w:rsid w:val="7DD178FF"/>
    <w:rsid w:val="7DD93AF5"/>
    <w:rsid w:val="7E08488D"/>
    <w:rsid w:val="7E0B46C6"/>
    <w:rsid w:val="7E29658F"/>
    <w:rsid w:val="7E6C096D"/>
    <w:rsid w:val="7E741A9E"/>
    <w:rsid w:val="7E76669F"/>
    <w:rsid w:val="7E7D3589"/>
    <w:rsid w:val="7E945C6C"/>
    <w:rsid w:val="7E9E36A5"/>
    <w:rsid w:val="7EB97006"/>
    <w:rsid w:val="7EBD706C"/>
    <w:rsid w:val="7F05191B"/>
    <w:rsid w:val="7F0E0284"/>
    <w:rsid w:val="7F42661D"/>
    <w:rsid w:val="7F572FD5"/>
    <w:rsid w:val="7F693A0B"/>
    <w:rsid w:val="7F9230D4"/>
    <w:rsid w:val="7FB03C09"/>
    <w:rsid w:val="7FC2038E"/>
    <w:rsid w:val="7FFC4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line="360" w:lineRule="auto"/>
      <w:outlineLvl w:val="1"/>
    </w:pPr>
    <w:rPr>
      <w:bCs/>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30"/>
    <w:qFormat/>
    <w:uiPriority w:val="0"/>
    <w:rPr>
      <w:rFonts w:ascii="宋体"/>
      <w:sz w:val="18"/>
      <w:szCs w:val="18"/>
    </w:rPr>
  </w:style>
  <w:style w:type="paragraph" w:styleId="4">
    <w:name w:val="annotation text"/>
    <w:basedOn w:val="1"/>
    <w:qFormat/>
    <w:uiPriority w:val="0"/>
    <w:pPr>
      <w:jc w:val="left"/>
    </w:pPr>
  </w:style>
  <w:style w:type="paragraph" w:styleId="5">
    <w:name w:val="Body Text"/>
    <w:basedOn w:val="1"/>
    <w:qFormat/>
    <w:uiPriority w:val="0"/>
    <w:pPr>
      <w:spacing w:line="360" w:lineRule="auto"/>
    </w:pPr>
    <w:rPr>
      <w:rFonts w:ascii="宋体" w:hAnsi="宋体"/>
      <w:sz w:val="24"/>
    </w:rPr>
  </w:style>
  <w:style w:type="paragraph" w:styleId="6">
    <w:name w:val="Body Text Indent"/>
    <w:basedOn w:val="1"/>
    <w:qFormat/>
    <w:uiPriority w:val="0"/>
    <w:pPr>
      <w:spacing w:line="360" w:lineRule="auto"/>
      <w:ind w:firstLine="420" w:firstLineChars="200"/>
    </w:pPr>
    <w:rPr>
      <w:rFonts w:ascii="宋体" w:hAnsi="宋体"/>
    </w:rPr>
  </w:style>
  <w:style w:type="paragraph" w:styleId="7">
    <w:name w:val="Plain Text"/>
    <w:basedOn w:val="1"/>
    <w:link w:val="24"/>
    <w:qFormat/>
    <w:uiPriority w:val="0"/>
    <w:rPr>
      <w:rFonts w:ascii="宋体" w:hAnsi="Courier New" w:cs="Courier New"/>
      <w:szCs w:val="21"/>
    </w:rPr>
  </w:style>
  <w:style w:type="paragraph" w:styleId="8">
    <w:name w:val="Date"/>
    <w:basedOn w:val="1"/>
    <w:next w:val="1"/>
    <w:qFormat/>
    <w:uiPriority w:val="0"/>
    <w:pPr>
      <w:ind w:left="100" w:leftChars="2500"/>
    </w:pPr>
    <w:rPr>
      <w:rFonts w:ascii="宋体" w:hAnsi="宋体"/>
      <w:color w:val="FF6600"/>
      <w:kern w:val="0"/>
      <w:sz w:val="24"/>
    </w:rPr>
  </w:style>
  <w:style w:type="paragraph" w:styleId="9">
    <w:name w:val="Body Text Indent 2"/>
    <w:basedOn w:val="1"/>
    <w:link w:val="23"/>
    <w:qFormat/>
    <w:uiPriority w:val="0"/>
    <w:pPr>
      <w:spacing w:after="120" w:line="480" w:lineRule="auto"/>
      <w:ind w:left="420" w:leftChars="2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5"/>
    <w:qFormat/>
    <w:uiPriority w:val="0"/>
    <w:pPr>
      <w:spacing w:after="120"/>
      <w:ind w:left="420" w:leftChars="200"/>
    </w:pPr>
    <w:rPr>
      <w:sz w:val="16"/>
      <w:szCs w:val="16"/>
    </w:rPr>
  </w:style>
  <w:style w:type="paragraph" w:styleId="14">
    <w:name w:val="Normal (Web)"/>
    <w:basedOn w:val="1"/>
    <w:qFormat/>
    <w:uiPriority w:val="0"/>
    <w:pPr>
      <w:widowControl/>
      <w:spacing w:before="100" w:beforeAutospacing="1" w:after="100" w:afterAutospacing="1"/>
      <w:jc w:val="left"/>
    </w:pPr>
    <w:rPr>
      <w:rFonts w:ascii="宋体"/>
      <w:kern w:val="0"/>
      <w:sz w:val="24"/>
    </w:rPr>
  </w:style>
  <w:style w:type="paragraph" w:styleId="15">
    <w:name w:val="annotation subject"/>
    <w:basedOn w:val="4"/>
    <w:next w:val="4"/>
    <w:qFormat/>
    <w:uiPriority w:val="0"/>
    <w:rPr>
      <w:b/>
      <w:bCs/>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page number"/>
    <w:basedOn w:val="18"/>
    <w:qFormat/>
    <w:uiPriority w:val="0"/>
  </w:style>
  <w:style w:type="character" w:styleId="20">
    <w:name w:val="Emphasis"/>
    <w:basedOn w:val="18"/>
    <w:qFormat/>
    <w:uiPriority w:val="0"/>
    <w:rPr>
      <w:i/>
    </w:rPr>
  </w:style>
  <w:style w:type="character" w:styleId="21">
    <w:name w:val="Hyperlink"/>
    <w:basedOn w:val="18"/>
    <w:qFormat/>
    <w:uiPriority w:val="0"/>
    <w:rPr>
      <w:color w:val="0000FF"/>
      <w:u w:val="single"/>
    </w:rPr>
  </w:style>
  <w:style w:type="character" w:styleId="22">
    <w:name w:val="annotation reference"/>
    <w:basedOn w:val="18"/>
    <w:qFormat/>
    <w:uiPriority w:val="0"/>
    <w:rPr>
      <w:sz w:val="21"/>
      <w:szCs w:val="21"/>
    </w:rPr>
  </w:style>
  <w:style w:type="character" w:customStyle="1" w:styleId="23">
    <w:name w:val="正文文本缩进 2 字符"/>
    <w:basedOn w:val="18"/>
    <w:link w:val="9"/>
    <w:qFormat/>
    <w:uiPriority w:val="0"/>
    <w:rPr>
      <w:kern w:val="2"/>
      <w:sz w:val="21"/>
      <w:szCs w:val="24"/>
    </w:rPr>
  </w:style>
  <w:style w:type="character" w:customStyle="1" w:styleId="24">
    <w:name w:val="纯文本 字符"/>
    <w:basedOn w:val="18"/>
    <w:link w:val="7"/>
    <w:qFormat/>
    <w:uiPriority w:val="0"/>
    <w:rPr>
      <w:rFonts w:ascii="宋体" w:hAnsi="Courier New" w:cs="Courier New"/>
      <w:kern w:val="2"/>
      <w:sz w:val="21"/>
      <w:szCs w:val="21"/>
    </w:rPr>
  </w:style>
  <w:style w:type="character" w:customStyle="1" w:styleId="25">
    <w:name w:val="正文文本缩进 3 字符"/>
    <w:basedOn w:val="18"/>
    <w:link w:val="13"/>
    <w:qFormat/>
    <w:uiPriority w:val="0"/>
    <w:rPr>
      <w:kern w:val="2"/>
      <w:sz w:val="16"/>
      <w:szCs w:val="16"/>
    </w:rPr>
  </w:style>
  <w:style w:type="paragraph" w:customStyle="1" w:styleId="26">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styleId="27">
    <w:name w:val="List Paragraph"/>
    <w:basedOn w:val="1"/>
    <w:qFormat/>
    <w:uiPriority w:val="34"/>
    <w:pPr>
      <w:ind w:firstLine="420" w:firstLineChars="200"/>
    </w:pPr>
  </w:style>
  <w:style w:type="paragraph" w:customStyle="1" w:styleId="28">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正文文本缩进 2 Char1"/>
    <w:basedOn w:val="18"/>
    <w:semiHidden/>
    <w:qFormat/>
    <w:locked/>
    <w:uiPriority w:val="0"/>
    <w:rPr>
      <w:kern w:val="2"/>
      <w:sz w:val="21"/>
      <w:szCs w:val="24"/>
    </w:rPr>
  </w:style>
  <w:style w:type="character" w:customStyle="1" w:styleId="30">
    <w:name w:val="文档结构图 字符"/>
    <w:basedOn w:val="18"/>
    <w:link w:val="3"/>
    <w:qFormat/>
    <w:uiPriority w:val="0"/>
    <w:rPr>
      <w:rFonts w:ascii="宋体"/>
      <w:kern w:val="2"/>
      <w:sz w:val="18"/>
      <w:szCs w:val="18"/>
    </w:rPr>
  </w:style>
  <w:style w:type="paragraph" w:customStyle="1" w:styleId="31">
    <w:name w:val="目录 11"/>
    <w:basedOn w:val="1"/>
    <w:next w:val="1"/>
    <w:qFormat/>
    <w:uiPriority w:val="39"/>
    <w:pPr>
      <w:tabs>
        <w:tab w:val="right" w:leader="dot" w:pos="9241"/>
      </w:tabs>
      <w:spacing w:line="360" w:lineRule="auto"/>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6"/>
    <customShpInfo spid="_x0000_s1041"/>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D1B56-4630-4C2F-BE52-E33EF3D1AA7F}">
  <ds:schemaRefs/>
</ds:datastoreItem>
</file>

<file path=docProps/app.xml><?xml version="1.0" encoding="utf-8"?>
<Properties xmlns="http://schemas.openxmlformats.org/officeDocument/2006/extended-properties" xmlns:vt="http://schemas.openxmlformats.org/officeDocument/2006/docPropsVTypes">
  <Template>Normal</Template>
  <Company>junc</Company>
  <Pages>9</Pages>
  <Words>5927</Words>
  <Characters>6177</Characters>
  <Lines>47</Lines>
  <Paragraphs>13</Paragraphs>
  <TotalTime>1</TotalTime>
  <ScaleCrop>false</ScaleCrop>
  <LinksUpToDate>false</LinksUpToDate>
  <CharactersWithSpaces>6319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2022-05-04T13:04:00Z</dcterms:created>
  <dc:creator>Xer</dc:creator>
  <cp:lastModifiedBy>齐虹</cp:lastModifiedBy>
  <cp:lastPrinted>2021-07-15T07:43:00Z</cp:lastPrinted>
  <dcterms:modified xsi:type="dcterms:W3CDTF">2023-04-07T07:05:17Z</dcterms:modified>
  <dc:title>《质量手册》批准发布令</dc:title>
  <cp:revision>1336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8C1B3EE6361D47C2A0FEE456460A9752</vt:lpwstr>
  </property>
</Properties>
</file>