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XTXPS/ZN-GDA-2022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hint="eastAsia" w:ascii="隶书" w:hAnsi="宋体" w:eastAsia="隶书" w:cs="宋体"/>
          <w:b/>
          <w:bCs/>
          <w:spacing w:val="3"/>
          <w:sz w:val="72"/>
          <w:szCs w:val="72"/>
        </w:rPr>
        <w:t>1</w:t>
      </w:r>
      <w:r>
        <w:rPr>
          <w:rFonts w:ascii="隶书" w:hAnsi="宋体" w:eastAsia="隶书" w:cs="宋体"/>
          <w:b/>
          <w:bCs/>
          <w:spacing w:val="3"/>
          <w:sz w:val="72"/>
          <w:szCs w:val="72"/>
        </w:rPr>
        <w:t>0</w:t>
      </w:r>
      <w:r>
        <w:rPr>
          <w:rFonts w:hint="eastAsia" w:ascii="隶书" w:hAnsi="宋体" w:eastAsia="隶书" w:cs="宋体"/>
          <w:b/>
          <w:bCs/>
          <w:spacing w:val="3"/>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z w:val="84"/>
          <w:szCs w:val="84"/>
        </w:rPr>
        <w:t>压力管道安装单位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9" w:name="_GoBack"/>
      <w:bookmarkEnd w:id="9"/>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spacing w:val="-6"/>
          <w:sz w:val="32"/>
        </w:rPr>
      </w:pPr>
      <w:r>
        <w:rPr>
          <w:rFonts w:hint="eastAsia" w:eastAsia="隶书"/>
          <w:b/>
          <w:sz w:val="48"/>
        </w:rPr>
        <w:t>湖南省特种设备协会</w:t>
      </w:r>
    </w:p>
    <w:p>
      <w:pPr>
        <w:widowControl/>
        <w:spacing w:line="240" w:lineRule="auto"/>
        <w:jc w:val="left"/>
        <w:rPr>
          <w:rFonts w:ascii="黑体" w:hAnsi="黑体" w:eastAsia="黑体"/>
          <w:b/>
          <w:sz w:val="32"/>
          <w:szCs w:val="32"/>
        </w:rPr>
      </w:pPr>
    </w:p>
    <w:p>
      <w:pPr>
        <w:spacing w:before="312" w:beforeLines="100" w:after="100" w:afterAutospacing="1" w:line="400" w:lineRule="exact"/>
        <w:jc w:val="center"/>
        <w:outlineLvl w:val="0"/>
        <w:rPr>
          <w:rFonts w:ascii="黑体" w:hAnsi="黑体" w:eastAsia="黑体"/>
          <w:b/>
          <w:sz w:val="32"/>
          <w:szCs w:val="32"/>
        </w:rPr>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pPr>
      <w:bookmarkStart w:id="0" w:name="OLE_LINK54"/>
      <w:bookmarkStart w:id="1" w:name="OLE_LINK53"/>
    </w:p>
    <w:p>
      <w:pPr>
        <w:spacing w:before="312" w:beforeLines="100" w:after="100" w:afterAutospacing="1" w:line="400" w:lineRule="exact"/>
        <w:jc w:val="center"/>
        <w:outlineLvl w:val="0"/>
        <w:rPr>
          <w:rFonts w:hint="eastAsia" w:ascii="黑体" w:hAnsi="黑体" w:eastAsia="黑体"/>
          <w:b/>
          <w:sz w:val="32"/>
          <w:szCs w:val="32"/>
          <w:lang w:eastAsia="zh-CN"/>
        </w:rPr>
      </w:pP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第1</w:t>
      </w:r>
      <w:r>
        <w:rPr>
          <w:rFonts w:ascii="黑体" w:hAnsi="黑体" w:eastAsia="黑体"/>
          <w:b/>
          <w:sz w:val="32"/>
          <w:szCs w:val="32"/>
        </w:rPr>
        <w:t>0</w:t>
      </w:r>
      <w:r>
        <w:rPr>
          <w:rFonts w:hint="eastAsia" w:ascii="黑体" w:hAnsi="黑体" w:eastAsia="黑体"/>
          <w:b/>
          <w:sz w:val="32"/>
          <w:szCs w:val="32"/>
        </w:rPr>
        <w:t>部分 专用指南 压力管道安装单位</w:t>
      </w:r>
    </w:p>
    <w:bookmarkEnd w:id="0"/>
    <w:bookmarkEnd w:id="1"/>
    <w:p>
      <w:pPr>
        <w:spacing w:line="480" w:lineRule="auto"/>
        <w:outlineLvl w:val="0"/>
        <w:rPr>
          <w:rFonts w:ascii="宋体" w:hAnsi="宋体" w:cs="黑体"/>
          <w:b/>
          <w:sz w:val="24"/>
        </w:rPr>
      </w:pPr>
      <w:bookmarkStart w:id="2" w:name="OLE_LINK124"/>
      <w:bookmarkStart w:id="3" w:name="OLE_LINK125"/>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第1</w:t>
      </w:r>
      <w:r>
        <w:rPr>
          <w:rFonts w:ascii="宋体" w:hAnsi="宋体"/>
          <w:sz w:val="24"/>
        </w:rPr>
        <w:t>0</w:t>
      </w:r>
      <w:r>
        <w:rPr>
          <w:rFonts w:hint="eastAsia" w:ascii="宋体" w:hAnsi="宋体"/>
          <w:sz w:val="24"/>
        </w:rPr>
        <w:t>部分 专用指南 压力管道安装单位。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压力管道安装（含修理、改造，下同）单位鉴定评审的基本内容与方法、需要提供的满足核准条件的相关见证、需要提交评审机构的资料等方面的基本要求。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w:t>
      </w:r>
    </w:p>
    <w:p>
      <w:pPr>
        <w:spacing w:line="360" w:lineRule="auto"/>
        <w:ind w:firstLine="480" w:firstLineChars="200"/>
        <w:rPr>
          <w:rFonts w:ascii="宋体" w:hAnsi="宋体"/>
          <w:sz w:val="24"/>
        </w:rPr>
      </w:pPr>
      <w:r>
        <w:rPr>
          <w:rFonts w:hint="eastAsia" w:ascii="宋体" w:hAnsi="宋体"/>
          <w:sz w:val="24"/>
        </w:rPr>
        <w:t>2.4  TSG D0001-2009 压力管道安全技术监察规程</w:t>
      </w:r>
    </w:p>
    <w:p>
      <w:pPr>
        <w:spacing w:line="360" w:lineRule="auto"/>
        <w:ind w:firstLine="480" w:firstLineChars="200"/>
        <w:rPr>
          <w:rFonts w:ascii="宋体" w:hAnsi="宋体"/>
          <w:sz w:val="24"/>
        </w:rPr>
      </w:pPr>
      <w:r>
        <w:rPr>
          <w:rFonts w:hint="eastAsia" w:ascii="宋体" w:hAnsi="宋体"/>
          <w:sz w:val="24"/>
        </w:rPr>
        <w:t>2.5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r>
        <w:rPr>
          <w:rFonts w:hint="eastAsia" w:ascii="宋体" w:hAnsi="宋体" w:cs="黑体"/>
          <w:b/>
          <w:sz w:val="24"/>
        </w:rPr>
        <w:t>4  评审基本内容与方法</w:t>
      </w:r>
    </w:p>
    <w:p>
      <w:pPr>
        <w:tabs>
          <w:tab w:val="left" w:pos="2490"/>
        </w:tabs>
        <w:spacing w:line="480" w:lineRule="auto"/>
        <w:outlineLvl w:val="0"/>
        <w:rPr>
          <w:rFonts w:ascii="宋体" w:hAnsi="宋体" w:cs="黑体"/>
          <w:b/>
          <w:sz w:val="24"/>
        </w:rPr>
      </w:pPr>
      <w:r>
        <w:rPr>
          <w:rFonts w:hint="eastAsia" w:ascii="宋体" w:hAnsi="宋体" w:cs="黑体"/>
          <w:b/>
          <w:sz w:val="24"/>
        </w:rPr>
        <w:t>4.1 资源条件的评审</w:t>
      </w:r>
    </w:p>
    <w:p>
      <w:pPr>
        <w:spacing w:line="360" w:lineRule="auto"/>
        <w:ind w:firstLine="480"/>
        <w:rPr>
          <w:rFonts w:ascii="宋体"/>
          <w:sz w:val="24"/>
        </w:rPr>
      </w:pPr>
      <w:r>
        <w:rPr>
          <w:rFonts w:hint="eastAsia" w:ascii="宋体" w:hAnsi="宋体"/>
          <w:sz w:val="24"/>
        </w:rPr>
        <w:t>鉴定评审组将对申请单位的资源条件进行评审，评审的内容包括：</w:t>
      </w:r>
    </w:p>
    <w:p>
      <w:pPr>
        <w:spacing w:line="360" w:lineRule="auto"/>
        <w:rPr>
          <w:rFonts w:ascii="宋体"/>
          <w:sz w:val="24"/>
        </w:rPr>
      </w:pPr>
      <w:r>
        <w:rPr>
          <w:rFonts w:hint="eastAsia" w:ascii="宋体" w:hAnsi="宋体"/>
          <w:sz w:val="24"/>
        </w:rPr>
        <w:t>4</w:t>
      </w:r>
      <w:r>
        <w:rPr>
          <w:rFonts w:ascii="宋体" w:hAnsi="宋体"/>
          <w:sz w:val="24"/>
        </w:rPr>
        <w:t>.1.1</w:t>
      </w:r>
      <w:r>
        <w:rPr>
          <w:rFonts w:hint="eastAsia" w:ascii="宋体" w:hAnsi="宋体"/>
          <w:sz w:val="24"/>
        </w:rPr>
        <w:t>申请单位的法定资质；</w:t>
      </w:r>
    </w:p>
    <w:p>
      <w:pPr>
        <w:spacing w:line="360" w:lineRule="auto"/>
        <w:rPr>
          <w:rFonts w:ascii="宋体"/>
          <w:sz w:val="24"/>
        </w:rPr>
      </w:pPr>
      <w:r>
        <w:rPr>
          <w:rFonts w:hint="eastAsia" w:ascii="宋体" w:hAnsi="宋体"/>
          <w:sz w:val="24"/>
        </w:rPr>
        <w:t>4</w:t>
      </w:r>
      <w:r>
        <w:rPr>
          <w:rFonts w:ascii="宋体" w:hAnsi="宋体"/>
          <w:sz w:val="24"/>
        </w:rPr>
        <w:t>.1.2</w:t>
      </w:r>
      <w:r>
        <w:rPr>
          <w:rFonts w:hint="eastAsia" w:ascii="宋体" w:hAnsi="宋体"/>
          <w:sz w:val="24"/>
        </w:rPr>
        <w:t>人员：配备与压力管道安装许可范围相适应的质量保证体系人员（质量保证工程师、质量控制系统责任人员）、技术人员、焊工、无损检测人员、其他人员（理化人员、的检验与试验人员）；</w:t>
      </w:r>
    </w:p>
    <w:p>
      <w:pPr>
        <w:spacing w:line="360" w:lineRule="auto"/>
        <w:rPr>
          <w:rFonts w:ascii="宋体" w:hAnsi="宋体"/>
          <w:sz w:val="24"/>
        </w:rPr>
      </w:pPr>
      <w:r>
        <w:rPr>
          <w:rFonts w:hint="eastAsia" w:ascii="宋体" w:hAnsi="宋体"/>
          <w:sz w:val="24"/>
        </w:rPr>
        <w:t>4</w:t>
      </w:r>
      <w:r>
        <w:rPr>
          <w:rFonts w:ascii="宋体" w:hAnsi="宋体"/>
          <w:sz w:val="24"/>
        </w:rPr>
        <w:t>.1.3</w:t>
      </w:r>
      <w:r>
        <w:rPr>
          <w:rFonts w:hint="eastAsia" w:ascii="宋体" w:hAnsi="宋体"/>
          <w:sz w:val="24"/>
        </w:rPr>
        <w:t xml:space="preserve"> 工作场所</w:t>
      </w:r>
    </w:p>
    <w:p>
      <w:pPr>
        <w:spacing w:line="360" w:lineRule="auto"/>
        <w:rPr>
          <w:rFonts w:ascii="宋体" w:hAnsi="宋体"/>
          <w:sz w:val="24"/>
        </w:rPr>
      </w:pPr>
      <w:r>
        <w:rPr>
          <w:rFonts w:hint="eastAsia" w:ascii="宋体" w:hAnsi="宋体"/>
          <w:sz w:val="24"/>
        </w:rPr>
        <w:t>（1）具有与压力管道安装相适应的办公场所；</w:t>
      </w:r>
    </w:p>
    <w:p>
      <w:pPr>
        <w:spacing w:line="360" w:lineRule="auto"/>
        <w:rPr>
          <w:rFonts w:ascii="宋体" w:hAnsi="宋体"/>
          <w:sz w:val="24"/>
        </w:rPr>
      </w:pPr>
      <w:r>
        <w:rPr>
          <w:rFonts w:hint="eastAsia" w:ascii="宋体" w:hAnsi="宋体"/>
          <w:sz w:val="24"/>
        </w:rPr>
        <w:t>（2）具有与许可级别相适应的原材料及安装用设施、设备保管条件，具有专用场地或者专用材料库房，满足材料分类分区(待检、合格、不合格)、分批存放的要求；</w:t>
      </w:r>
    </w:p>
    <w:p>
      <w:pPr>
        <w:spacing w:line="360" w:lineRule="auto"/>
        <w:rPr>
          <w:rFonts w:ascii="宋体" w:hAnsi="宋体"/>
          <w:sz w:val="24"/>
        </w:rPr>
      </w:pPr>
      <w:r>
        <w:rPr>
          <w:rFonts w:hint="eastAsia" w:ascii="宋体" w:hAnsi="宋体"/>
          <w:sz w:val="24"/>
        </w:rPr>
        <w:t>（3）具有专用的焊接材料库，并且配置符合规定的去湿保温设备、烘干设备，以及适应安装工程焊接需要的焊条保温设备；</w:t>
      </w:r>
    </w:p>
    <w:p>
      <w:pPr>
        <w:spacing w:line="360" w:lineRule="auto"/>
        <w:rPr>
          <w:rFonts w:ascii="宋体" w:hAnsi="宋体"/>
          <w:sz w:val="24"/>
        </w:rPr>
      </w:pPr>
      <w:r>
        <w:rPr>
          <w:rFonts w:hint="eastAsia" w:ascii="宋体" w:hAnsi="宋体"/>
          <w:sz w:val="24"/>
        </w:rPr>
        <w:t>（4）GC1具有设备、材料仓库，焊材库及焊接试验场地，面积不小于1000m</w:t>
      </w:r>
      <w:r>
        <w:rPr>
          <w:rFonts w:hint="eastAsia" w:ascii="宋体" w:hAnsi="宋体"/>
          <w:sz w:val="24"/>
          <w:vertAlign w:val="superscript"/>
        </w:rPr>
        <w:t>2</w:t>
      </w:r>
      <w:r>
        <w:rPr>
          <w:rFonts w:hint="eastAsia" w:ascii="宋体" w:hAnsi="宋体"/>
          <w:sz w:val="24"/>
        </w:rPr>
        <w:t>；GA2、GB1、GCD具有设备、材料仓库，焊材库及焊接试验场地，面积不小于500m</w:t>
      </w:r>
      <w:r>
        <w:rPr>
          <w:rFonts w:hint="eastAsia" w:ascii="宋体" w:hAnsi="宋体"/>
          <w:sz w:val="24"/>
          <w:vertAlign w:val="superscript"/>
        </w:rPr>
        <w:t>2</w:t>
      </w:r>
      <w:r>
        <w:rPr>
          <w:rFonts w:hint="eastAsia" w:ascii="宋体" w:hAnsi="宋体"/>
          <w:sz w:val="24"/>
        </w:rPr>
        <w:t>；GC2具有设备、材料仓库，焊材库及焊接试验场地，面积不小于300m</w:t>
      </w:r>
      <w:r>
        <w:rPr>
          <w:rFonts w:hint="eastAsia" w:ascii="宋体" w:hAnsi="宋体"/>
          <w:sz w:val="24"/>
          <w:vertAlign w:val="superscript"/>
        </w:rPr>
        <w:t>2</w:t>
      </w:r>
      <w:r>
        <w:rPr>
          <w:rFonts w:hint="eastAsia" w:ascii="宋体" w:hAnsi="宋体"/>
          <w:sz w:val="24"/>
        </w:rPr>
        <w:t>。</w:t>
      </w:r>
    </w:p>
    <w:p>
      <w:pPr>
        <w:spacing w:line="360" w:lineRule="auto"/>
        <w:rPr>
          <w:rFonts w:ascii="宋体" w:hAnsi="宋体"/>
          <w:sz w:val="24"/>
        </w:rPr>
      </w:pPr>
      <w:r>
        <w:rPr>
          <w:rFonts w:hint="eastAsia" w:ascii="宋体" w:hAnsi="宋体"/>
          <w:sz w:val="24"/>
        </w:rPr>
        <w:t>4</w:t>
      </w:r>
      <w:r>
        <w:rPr>
          <w:rFonts w:ascii="宋体" w:hAnsi="宋体"/>
          <w:sz w:val="24"/>
        </w:rPr>
        <w:t>.1.4</w:t>
      </w:r>
      <w:r>
        <w:rPr>
          <w:rFonts w:hint="eastAsia" w:ascii="宋体" w:hAnsi="宋体"/>
          <w:sz w:val="24"/>
        </w:rPr>
        <w:t>设备设施要求</w:t>
      </w:r>
    </w:p>
    <w:p>
      <w:pPr>
        <w:tabs>
          <w:tab w:val="left" w:pos="1080"/>
        </w:tabs>
        <w:adjustRightInd w:val="0"/>
        <w:snapToGrid w:val="0"/>
        <w:spacing w:line="360" w:lineRule="auto"/>
        <w:ind w:firstLine="480" w:firstLineChars="200"/>
        <w:rPr>
          <w:rFonts w:ascii="宋体" w:hAnsi="宋体"/>
          <w:sz w:val="24"/>
        </w:rPr>
      </w:pPr>
      <w:r>
        <w:rPr>
          <w:rFonts w:hint="eastAsia" w:ascii="宋体" w:hAnsi="宋体"/>
          <w:sz w:val="24"/>
        </w:rPr>
        <w:t>各许可项目设备设施要求见表1</w:t>
      </w:r>
      <w:r>
        <w:rPr>
          <w:rFonts w:ascii="宋体" w:hAnsi="宋体"/>
          <w:sz w:val="24"/>
        </w:rPr>
        <w:t>0</w:t>
      </w:r>
      <w:r>
        <w:rPr>
          <w:rFonts w:hint="eastAsia" w:ascii="宋体" w:hAnsi="宋体"/>
          <w:sz w:val="24"/>
        </w:rPr>
        <w:t>-1：</w:t>
      </w:r>
    </w:p>
    <w:p>
      <w:pPr>
        <w:tabs>
          <w:tab w:val="left" w:pos="1080"/>
        </w:tabs>
        <w:adjustRightInd w:val="0"/>
        <w:snapToGrid w:val="0"/>
        <w:spacing w:line="360" w:lineRule="auto"/>
        <w:ind w:firstLine="480" w:firstLineChars="200"/>
        <w:jc w:val="center"/>
        <w:rPr>
          <w:rFonts w:ascii="宋体" w:hAnsi="宋体"/>
          <w:sz w:val="24"/>
        </w:rPr>
      </w:pPr>
      <w:r>
        <w:rPr>
          <w:rFonts w:hint="eastAsia" w:ascii="宋体" w:hAnsi="宋体"/>
          <w:sz w:val="24"/>
        </w:rPr>
        <w:t>表1</w:t>
      </w:r>
      <w:r>
        <w:rPr>
          <w:rFonts w:ascii="宋体" w:hAnsi="宋体"/>
          <w:sz w:val="24"/>
        </w:rPr>
        <w:t>0</w:t>
      </w:r>
      <w:r>
        <w:rPr>
          <w:rFonts w:hint="eastAsia" w:ascii="宋体" w:hAnsi="宋体"/>
          <w:sz w:val="24"/>
        </w:rPr>
        <w:t>-1</w:t>
      </w:r>
    </w:p>
    <w:tbl>
      <w:tblPr>
        <w:tblStyle w:val="18"/>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1668"/>
        <w:gridCol w:w="1150"/>
        <w:gridCol w:w="1416"/>
        <w:gridCol w:w="1356"/>
        <w:gridCol w:w="134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级别</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GA2</w:t>
            </w:r>
          </w:p>
        </w:tc>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GB1</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GB2</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kern w:val="0"/>
                <w:szCs w:val="21"/>
              </w:rPr>
              <w:t>GC1</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kern w:val="0"/>
                <w:szCs w:val="21"/>
              </w:rPr>
              <w:t>GC2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kern w:val="0"/>
                <w:szCs w:val="21"/>
              </w:rPr>
              <w:t>GC</w:t>
            </w:r>
            <w:r>
              <w:rPr>
                <w:rFonts w:hint="eastAsia" w:ascii="宋体" w:hAnsi="宋体" w:cs="宋体"/>
                <w:b/>
                <w:bCs/>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焊机</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2(半自动焊机)、20（其他焊机）</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10</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15</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20</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10</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氩弧焊机</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5</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5</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10</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PE焊机</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6</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焊条烘干设备</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3</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4</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6</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吊管设备</w:t>
            </w:r>
          </w:p>
          <w:p>
            <w:pPr>
              <w:adjustRightInd w:val="0"/>
              <w:snapToGrid w:val="0"/>
              <w:jc w:val="center"/>
              <w:rPr>
                <w:rFonts w:ascii="宋体" w:hAnsi="宋体" w:cs="宋体"/>
                <w:szCs w:val="21"/>
              </w:rPr>
            </w:pPr>
            <w:r>
              <w:rPr>
                <w:rFonts w:hint="eastAsia" w:ascii="宋体" w:hAnsi="宋体" w:cs="宋体"/>
                <w:szCs w:val="21"/>
              </w:rPr>
              <w:t>（起重机）</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zCs w:val="21"/>
              </w:rPr>
            </w:pPr>
            <w:r>
              <w:rPr>
                <w:rFonts w:hint="eastAsia" w:ascii="宋体" w:hAnsi="宋体" w:cs="宋体"/>
                <w:szCs w:val="21"/>
              </w:rPr>
              <w:t>4（</w:t>
            </w:r>
            <w:r>
              <w:rPr>
                <w:rFonts w:hint="eastAsia" w:ascii="宋体" w:hAnsi="宋体" w:cs="宋体"/>
                <w:spacing w:val="20"/>
                <w:szCs w:val="21"/>
              </w:rPr>
              <w:t>≥8T)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pacing w:val="20"/>
                <w:szCs w:val="21"/>
              </w:rPr>
            </w:pPr>
            <w:r>
              <w:rPr>
                <w:rFonts w:hint="eastAsia" w:ascii="宋体" w:hAnsi="宋体" w:cs="宋体"/>
                <w:spacing w:val="20"/>
                <w:szCs w:val="21"/>
              </w:rPr>
              <w:t>1(≥8T，</w:t>
            </w:r>
          </w:p>
          <w:p>
            <w:pPr>
              <w:adjustRightInd w:val="0"/>
              <w:snapToGrid w:val="0"/>
              <w:ind w:left="-107" w:leftChars="-51" w:right="-40" w:rightChars="-19"/>
              <w:jc w:val="center"/>
              <w:rPr>
                <w:rFonts w:ascii="宋体" w:hAnsi="宋体" w:cs="宋体"/>
                <w:szCs w:val="21"/>
              </w:rPr>
            </w:pPr>
            <w:r>
              <w:rPr>
                <w:rFonts w:hint="eastAsia" w:ascii="宋体" w:hAnsi="宋体" w:cs="宋体"/>
                <w:spacing w:val="20"/>
                <w:szCs w:val="21"/>
              </w:rPr>
              <w:t>可租赁)</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pacing w:val="20"/>
                <w:szCs w:val="21"/>
              </w:rPr>
            </w:pPr>
            <w:r>
              <w:rPr>
                <w:rFonts w:hint="eastAsia" w:ascii="宋体" w:hAnsi="宋体" w:cs="宋体"/>
                <w:spacing w:val="20"/>
                <w:szCs w:val="21"/>
              </w:rPr>
              <w:t>1(≥8T，</w:t>
            </w:r>
          </w:p>
          <w:p>
            <w:pPr>
              <w:adjustRightInd w:val="0"/>
              <w:snapToGrid w:val="0"/>
              <w:ind w:left="-107" w:leftChars="-51" w:right="-88" w:rightChars="-42"/>
              <w:jc w:val="center"/>
              <w:rPr>
                <w:rFonts w:ascii="宋体" w:hAnsi="宋体" w:cs="宋体"/>
                <w:szCs w:val="21"/>
              </w:rPr>
            </w:pPr>
            <w:r>
              <w:rPr>
                <w:rFonts w:hint="eastAsia" w:ascii="宋体" w:hAnsi="宋体" w:cs="宋体"/>
                <w:spacing w:val="20"/>
                <w:szCs w:val="21"/>
              </w:rPr>
              <w:t>可租赁)</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pacing w:val="20"/>
                <w:szCs w:val="21"/>
              </w:rPr>
            </w:pPr>
            <w:r>
              <w:rPr>
                <w:rFonts w:hint="eastAsia" w:ascii="宋体" w:hAnsi="宋体" w:cs="宋体"/>
                <w:kern w:val="0"/>
                <w:szCs w:val="21"/>
              </w:rPr>
              <w:t>3</w:t>
            </w:r>
            <w:r>
              <w:rPr>
                <w:rFonts w:hint="eastAsia" w:ascii="宋体" w:hAnsi="宋体" w:cs="宋体"/>
                <w:spacing w:val="20"/>
                <w:szCs w:val="21"/>
              </w:rPr>
              <w:t>(≥8T，</w:t>
            </w:r>
          </w:p>
          <w:p>
            <w:pPr>
              <w:tabs>
                <w:tab w:val="left" w:pos="8618"/>
              </w:tabs>
              <w:adjustRightInd w:val="0"/>
              <w:snapToGrid w:val="0"/>
              <w:ind w:right="-22"/>
              <w:jc w:val="center"/>
              <w:rPr>
                <w:rFonts w:ascii="宋体" w:hAnsi="宋体" w:cs="宋体"/>
                <w:kern w:val="0"/>
                <w:szCs w:val="21"/>
              </w:rPr>
            </w:pPr>
            <w:r>
              <w:rPr>
                <w:rFonts w:hint="eastAsia" w:ascii="宋体" w:hAnsi="宋体" w:cs="宋体"/>
                <w:spacing w:val="20"/>
                <w:szCs w:val="21"/>
              </w:rPr>
              <w:t>可租赁)</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pacing w:val="20"/>
                <w:szCs w:val="21"/>
              </w:rPr>
            </w:pPr>
            <w:r>
              <w:rPr>
                <w:rFonts w:hint="eastAsia" w:ascii="宋体" w:hAnsi="宋体" w:cs="宋体"/>
                <w:kern w:val="0"/>
                <w:szCs w:val="21"/>
              </w:rPr>
              <w:t>1</w:t>
            </w:r>
            <w:r>
              <w:rPr>
                <w:rFonts w:hint="eastAsia" w:ascii="宋体" w:hAnsi="宋体" w:cs="宋体"/>
                <w:spacing w:val="20"/>
                <w:szCs w:val="21"/>
              </w:rPr>
              <w:t>(≥8T，</w:t>
            </w:r>
          </w:p>
          <w:p>
            <w:pPr>
              <w:tabs>
                <w:tab w:val="left" w:pos="8618"/>
              </w:tabs>
              <w:adjustRightInd w:val="0"/>
              <w:snapToGrid w:val="0"/>
              <w:ind w:right="-22"/>
              <w:jc w:val="center"/>
              <w:rPr>
                <w:rFonts w:ascii="宋体" w:hAnsi="宋体" w:cs="宋体"/>
                <w:kern w:val="0"/>
                <w:szCs w:val="21"/>
              </w:rPr>
            </w:pPr>
            <w:r>
              <w:rPr>
                <w:rFonts w:hint="eastAsia" w:ascii="宋体" w:hAnsi="宋体" w:cs="宋体"/>
                <w:spacing w:val="20"/>
                <w:szCs w:val="21"/>
              </w:rPr>
              <w:t>可租赁)</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7" w:leftChars="-51" w:right="-40" w:rightChars="-19"/>
              <w:jc w:val="center"/>
              <w:rPr>
                <w:rFonts w:ascii="宋体" w:hAnsi="宋体" w:cs="宋体"/>
                <w:spacing w:val="20"/>
                <w:szCs w:val="21"/>
              </w:rPr>
            </w:pPr>
            <w:r>
              <w:rPr>
                <w:rFonts w:hint="eastAsia" w:ascii="宋体" w:hAnsi="宋体" w:cs="宋体"/>
                <w:spacing w:val="20"/>
                <w:szCs w:val="21"/>
              </w:rPr>
              <w:t>3(≥8T，</w:t>
            </w:r>
          </w:p>
          <w:p>
            <w:pPr>
              <w:adjustRightInd w:val="0"/>
              <w:snapToGrid w:val="0"/>
              <w:ind w:left="-107" w:leftChars="-51" w:right="-40" w:rightChars="-19"/>
              <w:jc w:val="center"/>
              <w:rPr>
                <w:rFonts w:ascii="宋体" w:hAnsi="宋体" w:cs="宋体"/>
                <w:szCs w:val="21"/>
              </w:rPr>
            </w:pPr>
            <w:r>
              <w:rPr>
                <w:rFonts w:hint="eastAsia" w:ascii="宋体" w:hAnsi="宋体" w:cs="宋体"/>
                <w:spacing w:val="20"/>
                <w:szCs w:val="21"/>
              </w:rPr>
              <w:t>可租赁)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液压试验装置</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4</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6</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切割设备</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6</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发电设备</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pacing w:val="20"/>
                <w:szCs w:val="21"/>
              </w:rPr>
              <w:t>1</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空气压缩机</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4</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射线检测装置</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5</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超声检测仪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磁粉检测仪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电火花检漏仪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地面检漏仪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1</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2"/>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超声波测厚仪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2</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阀门试验装置</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kern w:val="0"/>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pacing w:val="2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6</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坡口加工设备</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kern w:val="0"/>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防腐蚀层检测仪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光谱分析仪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kern w:val="0"/>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便携式硬度计</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kern w:val="0"/>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远红外测温仪</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kern w:val="0"/>
                <w:szCs w:val="21"/>
              </w:rPr>
              <w:t>—</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kern w:val="0"/>
                <w:szCs w:val="21"/>
              </w:rPr>
              <w:t>—</w:t>
            </w:r>
          </w:p>
        </w:tc>
        <w:tc>
          <w:tcPr>
            <w:tcW w:w="1356"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8618"/>
              </w:tabs>
              <w:adjustRightInd w:val="0"/>
              <w:snapToGrid w:val="0"/>
              <w:ind w:right="-22"/>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GA2级管道安装单位还需要配备的设备</w:t>
            </w:r>
          </w:p>
        </w:tc>
        <w:tc>
          <w:tcPr>
            <w:tcW w:w="8347" w:type="dxa"/>
            <w:gridSpan w:val="6"/>
            <w:tcBorders>
              <w:top w:val="single" w:color="auto" w:sz="4" w:space="0"/>
              <w:left w:val="single" w:color="auto" w:sz="4" w:space="0"/>
              <w:right w:val="single" w:color="auto" w:sz="4" w:space="0"/>
            </w:tcBorders>
            <w:vAlign w:val="center"/>
          </w:tcPr>
          <w:p>
            <w:pPr>
              <w:numPr>
                <w:ilvl w:val="0"/>
                <w:numId w:val="1"/>
              </w:numPr>
              <w:tabs>
                <w:tab w:val="left" w:pos="8618"/>
              </w:tabs>
              <w:adjustRightInd w:val="0"/>
              <w:snapToGrid w:val="0"/>
              <w:ind w:right="-22"/>
              <w:jc w:val="left"/>
              <w:rPr>
                <w:rFonts w:ascii="宋体" w:hAnsi="宋体" w:cs="宋体"/>
                <w:kern w:val="0"/>
                <w:szCs w:val="21"/>
              </w:rPr>
            </w:pPr>
            <w:r>
              <w:rPr>
                <w:rFonts w:hint="eastAsia" w:ascii="宋体" w:hAnsi="宋体" w:cs="宋体"/>
                <w:szCs w:val="21"/>
              </w:rPr>
              <w:t>管道内对口设备4台；2、管道真空干燥设备1台（</w:t>
            </w:r>
            <w:r>
              <w:rPr>
                <w:rFonts w:hint="eastAsia" w:ascii="宋体" w:hAnsi="宋体" w:cs="宋体"/>
                <w:spacing w:val="20"/>
                <w:szCs w:val="21"/>
              </w:rPr>
              <w:t>可租赁</w:t>
            </w:r>
            <w:r>
              <w:rPr>
                <w:rFonts w:hint="eastAsia" w:ascii="宋体" w:hAnsi="宋体" w:cs="宋体"/>
                <w:szCs w:val="21"/>
              </w:rPr>
              <w:t>）；3、制氮设备1（</w:t>
            </w:r>
            <w:r>
              <w:rPr>
                <w:rFonts w:hint="eastAsia" w:ascii="宋体" w:hAnsi="宋体" w:cs="宋体"/>
                <w:spacing w:val="20"/>
                <w:szCs w:val="21"/>
              </w:rPr>
              <w:t>可租赁</w:t>
            </w:r>
            <w:r>
              <w:rPr>
                <w:rFonts w:hint="eastAsia" w:ascii="宋体" w:hAnsi="宋体" w:cs="宋体"/>
                <w:szCs w:val="21"/>
              </w:rPr>
              <w:t>）；4、射线检测爬行器2台；5、开孔机10台（其中3台可以开公称直径DN500、公称压力6.3Mpa以上的管道）；6、封堵器10台；7、液压站10台；8、夹板阀（三明治阀）20台；9、封堵头以及开孔、封堵接合器至少各20台；10、开孔、封堵试验装置以及试压设备、抽油泵至少各2台；11、呼吸器、防火服至少各2套；12、不停输专用封堵三通不同规格至少各2套。</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4</w:t>
      </w:r>
      <w:r>
        <w:rPr>
          <w:rFonts w:ascii="宋体" w:hAnsi="宋体"/>
          <w:sz w:val="24"/>
        </w:rPr>
        <w:t>.1.5</w:t>
      </w:r>
      <w:r>
        <w:rPr>
          <w:rFonts w:hint="eastAsia" w:ascii="宋体" w:hAnsi="宋体"/>
          <w:sz w:val="24"/>
        </w:rPr>
        <w:t>具备编制与压力管道安装相适应的施工组织设计(施工方案)、安装工艺、检验工艺等工艺技术文件的能力；具备压力管道主要安装工序检验和最终检验的能力；具有压力管道工程资料档案室，档案保管条件满足要求。</w:t>
      </w:r>
    </w:p>
    <w:p>
      <w:pPr>
        <w:spacing w:line="360" w:lineRule="auto"/>
        <w:rPr>
          <w:rFonts w:ascii="宋体" w:hAnsi="宋体"/>
          <w:sz w:val="24"/>
        </w:rPr>
      </w:pPr>
      <w:r>
        <w:rPr>
          <w:rFonts w:hint="eastAsia" w:ascii="宋体" w:hAnsi="宋体"/>
          <w:sz w:val="24"/>
        </w:rPr>
        <w:t>4.1.6申请单位应配备的法规和标准</w:t>
      </w:r>
    </w:p>
    <w:p>
      <w:pPr>
        <w:spacing w:line="360" w:lineRule="auto"/>
        <w:ind w:firstLine="480" w:firstLineChars="200"/>
        <w:rPr>
          <w:rFonts w:ascii="宋体" w:hAnsi="宋体"/>
          <w:sz w:val="24"/>
        </w:rPr>
      </w:pPr>
      <w:r>
        <w:rPr>
          <w:rFonts w:hint="eastAsia" w:ascii="宋体" w:hAnsi="宋体"/>
          <w:sz w:val="24"/>
        </w:rPr>
        <w:t>申请单位应配备的法规和标准见表1</w:t>
      </w:r>
      <w:r>
        <w:rPr>
          <w:rFonts w:ascii="宋体" w:hAnsi="宋体"/>
          <w:sz w:val="24"/>
        </w:rPr>
        <w:t>0</w:t>
      </w:r>
      <w:r>
        <w:rPr>
          <w:rFonts w:hint="eastAsia" w:ascii="宋体" w:hAnsi="宋体"/>
          <w:sz w:val="24"/>
        </w:rPr>
        <w:t>-2：</w:t>
      </w:r>
    </w:p>
    <w:p>
      <w:pPr>
        <w:spacing w:line="360" w:lineRule="auto"/>
        <w:ind w:firstLine="480" w:firstLineChars="200"/>
        <w:jc w:val="center"/>
        <w:rPr>
          <w:rFonts w:ascii="宋体" w:hAnsi="宋体"/>
          <w:sz w:val="24"/>
        </w:rPr>
      </w:pPr>
      <w:r>
        <w:rPr>
          <w:rFonts w:hint="eastAsia" w:ascii="宋体" w:hAnsi="宋体"/>
          <w:sz w:val="24"/>
        </w:rPr>
        <w:t>表1</w:t>
      </w:r>
      <w:r>
        <w:rPr>
          <w:rFonts w:ascii="宋体" w:hAnsi="宋体"/>
          <w:sz w:val="24"/>
        </w:rPr>
        <w:t>0</w:t>
      </w:r>
      <w:r>
        <w:rPr>
          <w:rFonts w:hint="eastAsia" w:ascii="宋体" w:hAnsi="宋体"/>
          <w:sz w:val="24"/>
        </w:rPr>
        <w:t>-2</w:t>
      </w:r>
    </w:p>
    <w:tbl>
      <w:tblPr>
        <w:tblStyle w:val="18"/>
        <w:tblpPr w:leftFromText="180" w:rightFromText="180" w:vertAnchor="text" w:horzAnchor="page" w:tblpX="1467" w:tblpY="224"/>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888"/>
        <w:gridCol w:w="1955"/>
        <w:gridCol w:w="489"/>
        <w:gridCol w:w="489"/>
        <w:gridCol w:w="489"/>
        <w:gridCol w:w="489"/>
        <w:gridCol w:w="489"/>
        <w:gridCol w:w="4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0" w:type="auto"/>
            <w:vMerge w:val="restart"/>
            <w:tcBorders>
              <w:tl2br w:val="nil"/>
              <w:tr2bl w:val="nil"/>
            </w:tcBorders>
            <w:vAlign w:val="center"/>
          </w:tcPr>
          <w:p>
            <w:pPr>
              <w:jc w:val="center"/>
              <w:rPr>
                <w:rFonts w:ascii="宋体" w:hAnsi="宋体"/>
                <w:b/>
                <w:szCs w:val="21"/>
              </w:rPr>
            </w:pPr>
            <w:r>
              <w:rPr>
                <w:rFonts w:hint="eastAsia" w:ascii="宋体" w:hAnsi="宋体"/>
                <w:b/>
                <w:szCs w:val="21"/>
              </w:rPr>
              <w:t>序号</w:t>
            </w:r>
          </w:p>
        </w:tc>
        <w:tc>
          <w:tcPr>
            <w:tcW w:w="3888" w:type="dxa"/>
            <w:vMerge w:val="restart"/>
            <w:tcBorders>
              <w:tl2br w:val="nil"/>
              <w:tr2bl w:val="nil"/>
            </w:tcBorders>
            <w:vAlign w:val="center"/>
          </w:tcPr>
          <w:p>
            <w:pPr>
              <w:jc w:val="center"/>
              <w:rPr>
                <w:rFonts w:ascii="宋体" w:hAnsi="宋体"/>
                <w:b/>
                <w:szCs w:val="21"/>
              </w:rPr>
            </w:pPr>
            <w:r>
              <w:rPr>
                <w:rFonts w:hint="eastAsia" w:ascii="宋体" w:hAnsi="宋体"/>
                <w:b/>
                <w:szCs w:val="21"/>
              </w:rPr>
              <w:t>法规标准名称</w:t>
            </w:r>
          </w:p>
        </w:tc>
        <w:tc>
          <w:tcPr>
            <w:tcW w:w="1955" w:type="dxa"/>
            <w:vMerge w:val="restart"/>
            <w:tcBorders>
              <w:tl2br w:val="nil"/>
              <w:tr2bl w:val="nil"/>
            </w:tcBorders>
            <w:vAlign w:val="center"/>
          </w:tcPr>
          <w:p>
            <w:pPr>
              <w:jc w:val="center"/>
              <w:rPr>
                <w:rFonts w:ascii="宋体" w:hAnsi="宋体"/>
                <w:b/>
                <w:szCs w:val="21"/>
              </w:rPr>
            </w:pPr>
            <w:r>
              <w:rPr>
                <w:rFonts w:hint="eastAsia" w:ascii="宋体" w:hAnsi="宋体"/>
                <w:b/>
                <w:szCs w:val="21"/>
              </w:rPr>
              <w:t>标准号</w:t>
            </w:r>
          </w:p>
        </w:tc>
        <w:tc>
          <w:tcPr>
            <w:tcW w:w="0" w:type="auto"/>
            <w:gridSpan w:val="6"/>
            <w:tcBorders>
              <w:tl2br w:val="nil"/>
              <w:tr2bl w:val="nil"/>
            </w:tcBorders>
          </w:tcPr>
          <w:p>
            <w:pPr>
              <w:jc w:val="center"/>
              <w:rPr>
                <w:rFonts w:ascii="宋体" w:hAnsi="宋体"/>
                <w:b/>
                <w:szCs w:val="21"/>
              </w:rPr>
            </w:pPr>
            <w:r>
              <w:rPr>
                <w:rFonts w:hint="eastAsia" w:ascii="宋体" w:hAnsi="宋体"/>
                <w:b/>
                <w:szCs w:val="21"/>
              </w:rPr>
              <w:t>许可级别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exact"/>
        </w:trPr>
        <w:tc>
          <w:tcPr>
            <w:tcW w:w="0" w:type="auto"/>
            <w:vMerge w:val="continue"/>
            <w:tcBorders>
              <w:tl2br w:val="nil"/>
              <w:tr2bl w:val="nil"/>
            </w:tcBorders>
            <w:vAlign w:val="center"/>
          </w:tcPr>
          <w:p>
            <w:pPr>
              <w:jc w:val="center"/>
              <w:rPr>
                <w:rFonts w:ascii="宋体" w:hAnsi="宋体"/>
                <w:b/>
                <w:szCs w:val="21"/>
              </w:rPr>
            </w:pPr>
          </w:p>
        </w:tc>
        <w:tc>
          <w:tcPr>
            <w:tcW w:w="3888" w:type="dxa"/>
            <w:vMerge w:val="continue"/>
            <w:tcBorders>
              <w:tl2br w:val="nil"/>
              <w:tr2bl w:val="nil"/>
            </w:tcBorders>
            <w:vAlign w:val="center"/>
          </w:tcPr>
          <w:p>
            <w:pPr>
              <w:jc w:val="center"/>
              <w:rPr>
                <w:rFonts w:ascii="宋体" w:hAnsi="宋体"/>
                <w:b/>
                <w:szCs w:val="21"/>
              </w:rPr>
            </w:pPr>
          </w:p>
        </w:tc>
        <w:tc>
          <w:tcPr>
            <w:tcW w:w="1955" w:type="dxa"/>
            <w:vMerge w:val="continue"/>
            <w:tcBorders>
              <w:tl2br w:val="nil"/>
              <w:tr2bl w:val="nil"/>
            </w:tcBorders>
            <w:vAlign w:val="center"/>
          </w:tcPr>
          <w:p>
            <w:pPr>
              <w:jc w:val="center"/>
              <w:rPr>
                <w:rFonts w:ascii="宋体" w:hAnsi="宋体"/>
                <w:b/>
                <w:szCs w:val="21"/>
              </w:rPr>
            </w:pP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GA2</w:t>
            </w: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GB1</w:t>
            </w: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GB2</w:t>
            </w: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GC1</w:t>
            </w: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GC2</w:t>
            </w:r>
          </w:p>
        </w:tc>
        <w:tc>
          <w:tcPr>
            <w:tcW w:w="0" w:type="auto"/>
            <w:tcBorders>
              <w:tl2br w:val="nil"/>
              <w:tr2bl w:val="nil"/>
            </w:tcBorders>
            <w:vAlign w:val="center"/>
          </w:tcPr>
          <w:p>
            <w:pPr>
              <w:jc w:val="center"/>
              <w:rPr>
                <w:rFonts w:ascii="宋体" w:hAnsi="宋体"/>
                <w:b/>
                <w:sz w:val="18"/>
                <w:szCs w:val="18"/>
              </w:rPr>
            </w:pPr>
            <w:r>
              <w:rPr>
                <w:rFonts w:hint="eastAsia" w:ascii="宋体" w:hAnsi="宋体"/>
                <w:b/>
                <w:sz w:val="18"/>
                <w:szCs w:val="18"/>
              </w:rPr>
              <w:t>GCD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w:t>
            </w:r>
          </w:p>
        </w:tc>
        <w:tc>
          <w:tcPr>
            <w:tcW w:w="3888" w:type="dxa"/>
            <w:tcBorders>
              <w:tl2br w:val="nil"/>
              <w:tr2bl w:val="nil"/>
            </w:tcBorders>
            <w:vAlign w:val="center"/>
          </w:tcPr>
          <w:p>
            <w:pPr>
              <w:rPr>
                <w:rFonts w:ascii="宋体" w:hAnsi="宋体"/>
                <w:szCs w:val="21"/>
              </w:rPr>
            </w:pPr>
            <w:r>
              <w:rPr>
                <w:rFonts w:hint="eastAsia" w:ascii="宋体" w:hAnsi="宋体"/>
                <w:szCs w:val="21"/>
              </w:rPr>
              <w:t>《中华人民共和国行政许可法》</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国家主席令第七号</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w:t>
            </w:r>
          </w:p>
        </w:tc>
        <w:tc>
          <w:tcPr>
            <w:tcW w:w="3888" w:type="dxa"/>
            <w:tcBorders>
              <w:tl2br w:val="nil"/>
              <w:tr2bl w:val="nil"/>
            </w:tcBorders>
            <w:vAlign w:val="center"/>
          </w:tcPr>
          <w:p>
            <w:pPr>
              <w:rPr>
                <w:rFonts w:ascii="宋体" w:hAnsi="宋体"/>
                <w:szCs w:val="21"/>
              </w:rPr>
            </w:pPr>
            <w:r>
              <w:rPr>
                <w:rFonts w:hint="eastAsia" w:ascii="宋体" w:hAnsi="宋体"/>
                <w:szCs w:val="21"/>
              </w:rPr>
              <w:t>《中华人民共和国特种设备安全法》</w:t>
            </w:r>
          </w:p>
        </w:tc>
        <w:tc>
          <w:tcPr>
            <w:tcW w:w="1955" w:type="dxa"/>
            <w:tcBorders>
              <w:tl2br w:val="nil"/>
              <w:tr2bl w:val="nil"/>
            </w:tcBorders>
            <w:vAlign w:val="center"/>
          </w:tcPr>
          <w:p>
            <w:pPr>
              <w:jc w:val="center"/>
              <w:rPr>
                <w:rFonts w:ascii="宋体" w:hAnsi="宋体"/>
                <w:szCs w:val="21"/>
              </w:rPr>
            </w:pPr>
            <w:r>
              <w:rPr>
                <w:rFonts w:ascii="宋体" w:hAnsi="宋体"/>
                <w:szCs w:val="21"/>
              </w:rPr>
              <w:t>国</w:t>
            </w:r>
            <w:r>
              <w:rPr>
                <w:rFonts w:hint="eastAsia" w:ascii="宋体" w:hAnsi="宋体"/>
                <w:szCs w:val="21"/>
              </w:rPr>
              <w:t>家</w:t>
            </w:r>
            <w:r>
              <w:rPr>
                <w:rFonts w:ascii="宋体" w:hAnsi="宋体"/>
                <w:szCs w:val="21"/>
              </w:rPr>
              <w:t>主席令第</w:t>
            </w:r>
            <w:r>
              <w:rPr>
                <w:rFonts w:hint="eastAsia" w:ascii="宋体" w:hAnsi="宋体"/>
                <w:szCs w:val="21"/>
              </w:rPr>
              <w:t>四</w:t>
            </w:r>
            <w:r>
              <w:rPr>
                <w:rFonts w:ascii="宋体" w:hAnsi="宋体"/>
                <w:szCs w:val="21"/>
              </w:rPr>
              <w:t>号</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w:t>
            </w:r>
          </w:p>
        </w:tc>
        <w:tc>
          <w:tcPr>
            <w:tcW w:w="3888" w:type="dxa"/>
            <w:tcBorders>
              <w:tl2br w:val="nil"/>
              <w:tr2bl w:val="nil"/>
            </w:tcBorders>
            <w:vAlign w:val="center"/>
          </w:tcPr>
          <w:p>
            <w:pPr>
              <w:rPr>
                <w:rFonts w:ascii="宋体" w:hAnsi="宋体"/>
                <w:szCs w:val="21"/>
              </w:rPr>
            </w:pPr>
            <w:r>
              <w:rPr>
                <w:rFonts w:hint="eastAsia" w:ascii="宋体" w:hAnsi="宋体"/>
                <w:szCs w:val="21"/>
              </w:rPr>
              <w:t>《特种设备安全监察条例》</w:t>
            </w:r>
          </w:p>
        </w:tc>
        <w:tc>
          <w:tcPr>
            <w:tcW w:w="1955" w:type="dxa"/>
            <w:tcBorders>
              <w:tl2br w:val="nil"/>
              <w:tr2bl w:val="nil"/>
            </w:tcBorders>
            <w:vAlign w:val="center"/>
          </w:tcPr>
          <w:p>
            <w:pPr>
              <w:jc w:val="center"/>
              <w:rPr>
                <w:rFonts w:ascii="宋体" w:hAnsi="宋体"/>
                <w:szCs w:val="21"/>
              </w:rPr>
            </w:pPr>
            <w:r>
              <w:rPr>
                <w:rFonts w:hint="eastAsia" w:ascii="宋体" w:hAnsi="宋体" w:cs="宋体"/>
                <w:szCs w:val="21"/>
              </w:rPr>
              <w:t>国务院令第549号</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4</w:t>
            </w:r>
          </w:p>
        </w:tc>
        <w:tc>
          <w:tcPr>
            <w:tcW w:w="3888" w:type="dxa"/>
            <w:tcBorders>
              <w:tl2br w:val="nil"/>
              <w:tr2bl w:val="nil"/>
            </w:tcBorders>
            <w:vAlign w:val="center"/>
          </w:tcPr>
          <w:p>
            <w:pPr>
              <w:rPr>
                <w:rFonts w:ascii="宋体" w:hAnsi="宋体"/>
                <w:szCs w:val="21"/>
              </w:rPr>
            </w:pPr>
            <w:r>
              <w:rPr>
                <w:rFonts w:hint="eastAsia" w:ascii="宋体" w:hAnsi="宋体"/>
                <w:szCs w:val="21"/>
              </w:rPr>
              <w:t>《特种设备生产和充装单位许可规则》</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07-2019</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5</w:t>
            </w:r>
          </w:p>
        </w:tc>
        <w:tc>
          <w:tcPr>
            <w:tcW w:w="3888" w:type="dxa"/>
            <w:tcBorders>
              <w:tl2br w:val="nil"/>
              <w:tr2bl w:val="nil"/>
            </w:tcBorders>
            <w:vAlign w:val="center"/>
          </w:tcPr>
          <w:p>
            <w:pPr>
              <w:jc w:val="left"/>
              <w:rPr>
                <w:rFonts w:ascii="宋体" w:hAnsi="宋体"/>
                <w:szCs w:val="21"/>
              </w:rPr>
            </w:pPr>
            <w:r>
              <w:rPr>
                <w:rFonts w:hint="eastAsia" w:ascii="宋体" w:hAnsi="宋体"/>
                <w:szCs w:val="21"/>
              </w:rPr>
              <w:t>《特种设备目录》</w:t>
            </w:r>
          </w:p>
        </w:tc>
        <w:tc>
          <w:tcPr>
            <w:tcW w:w="1955" w:type="dxa"/>
            <w:tcBorders>
              <w:tl2br w:val="nil"/>
              <w:tr2bl w:val="nil"/>
            </w:tcBorders>
            <w:vAlign w:val="center"/>
          </w:tcPr>
          <w:p>
            <w:pPr>
              <w:adjustRightInd w:val="0"/>
              <w:snapToGrid w:val="0"/>
              <w:rPr>
                <w:rFonts w:ascii="宋体" w:hAnsi="宋体"/>
                <w:spacing w:val="-26"/>
                <w:sz w:val="18"/>
                <w:szCs w:val="18"/>
              </w:rPr>
            </w:pPr>
            <w:r>
              <w:rPr>
                <w:rFonts w:hint="eastAsia" w:ascii="宋体" w:hAnsi="宋体" w:cs="宋体"/>
                <w:bCs/>
                <w:kern w:val="36"/>
                <w:sz w:val="18"/>
                <w:szCs w:val="18"/>
              </w:rPr>
              <w:t>质检总局关于修订《特种设备目录》的公告（2014年第114号）</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6</w:t>
            </w:r>
          </w:p>
        </w:tc>
        <w:tc>
          <w:tcPr>
            <w:tcW w:w="3888" w:type="dxa"/>
            <w:tcBorders>
              <w:tl2br w:val="nil"/>
              <w:tr2bl w:val="nil"/>
            </w:tcBorders>
            <w:vAlign w:val="center"/>
          </w:tcPr>
          <w:p>
            <w:pPr>
              <w:rPr>
                <w:rFonts w:ascii="宋体" w:hAnsi="宋体"/>
                <w:szCs w:val="21"/>
              </w:rPr>
            </w:pPr>
            <w:r>
              <w:rPr>
                <w:rFonts w:hint="eastAsia" w:ascii="宋体" w:hAnsi="宋体"/>
                <w:szCs w:val="21"/>
              </w:rPr>
              <w:t>《特种设备作业人员考核规则》</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Z6001-2019</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7</w:t>
            </w:r>
          </w:p>
        </w:tc>
        <w:tc>
          <w:tcPr>
            <w:tcW w:w="3888" w:type="dxa"/>
            <w:tcBorders>
              <w:tl2br w:val="nil"/>
              <w:tr2bl w:val="nil"/>
            </w:tcBorders>
            <w:vAlign w:val="center"/>
          </w:tcPr>
          <w:p>
            <w:pPr>
              <w:rPr>
                <w:rFonts w:ascii="宋体" w:hAnsi="宋体"/>
                <w:szCs w:val="21"/>
              </w:rPr>
            </w:pPr>
            <w:r>
              <w:rPr>
                <w:rFonts w:hint="eastAsia" w:ascii="宋体" w:hAnsi="宋体"/>
                <w:szCs w:val="21"/>
              </w:rPr>
              <w:t>《特种设备无损检测人员考核规则》</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Z8001-2019</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8</w:t>
            </w:r>
          </w:p>
        </w:tc>
        <w:tc>
          <w:tcPr>
            <w:tcW w:w="3888" w:type="dxa"/>
            <w:tcBorders>
              <w:tl2br w:val="nil"/>
              <w:tr2bl w:val="nil"/>
            </w:tcBorders>
            <w:vAlign w:val="center"/>
          </w:tcPr>
          <w:p>
            <w:pPr>
              <w:rPr>
                <w:rFonts w:ascii="宋体"/>
                <w:szCs w:val="21"/>
              </w:rPr>
            </w:pPr>
            <w:r>
              <w:rPr>
                <w:rFonts w:hint="eastAsia" w:ascii="宋体"/>
                <w:position w:val="-8"/>
                <w:szCs w:val="21"/>
              </w:rPr>
              <w:t>《特种设备焊接操作人员考核细则》</w:t>
            </w:r>
          </w:p>
        </w:tc>
        <w:tc>
          <w:tcPr>
            <w:tcW w:w="1955" w:type="dxa"/>
            <w:tcBorders>
              <w:tl2br w:val="nil"/>
              <w:tr2bl w:val="nil"/>
            </w:tcBorders>
            <w:vAlign w:val="center"/>
          </w:tcPr>
          <w:p>
            <w:pPr>
              <w:jc w:val="center"/>
              <w:rPr>
                <w:rFonts w:ascii="宋体"/>
                <w:szCs w:val="21"/>
              </w:rPr>
            </w:pPr>
            <w:r>
              <w:rPr>
                <w:rFonts w:hint="eastAsia" w:ascii="宋体"/>
                <w:position w:val="-8"/>
                <w:szCs w:val="21"/>
              </w:rPr>
              <w:t>TSG Z6002-2010</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9</w:t>
            </w:r>
          </w:p>
        </w:tc>
        <w:tc>
          <w:tcPr>
            <w:tcW w:w="3888" w:type="dxa"/>
            <w:tcBorders>
              <w:tl2br w:val="nil"/>
              <w:tr2bl w:val="nil"/>
            </w:tcBorders>
            <w:vAlign w:val="center"/>
          </w:tcPr>
          <w:p>
            <w:pPr>
              <w:rPr>
                <w:rFonts w:ascii="宋体" w:hAnsi="宋体"/>
                <w:szCs w:val="21"/>
              </w:rPr>
            </w:pPr>
            <w:r>
              <w:rPr>
                <w:rFonts w:hint="eastAsia" w:ascii="宋体" w:hAnsi="宋体"/>
                <w:szCs w:val="21"/>
              </w:rPr>
              <w:t>《承压设备焊接工艺评定》</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NB/T 47014－2011</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10</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《压力管道监督检验规则》</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D7006-2020</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11</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《承压设备无损检测》</w:t>
            </w:r>
          </w:p>
        </w:tc>
        <w:tc>
          <w:tcPr>
            <w:tcW w:w="1955" w:type="dxa"/>
            <w:tcBorders>
              <w:tl2br w:val="nil"/>
              <w:tr2bl w:val="nil"/>
            </w:tcBorders>
            <w:vAlign w:val="center"/>
          </w:tcPr>
          <w:p>
            <w:pPr>
              <w:rPr>
                <w:rFonts w:ascii="宋体" w:hAnsi="宋体"/>
                <w:szCs w:val="21"/>
              </w:rPr>
            </w:pPr>
            <w:r>
              <w:rPr>
                <w:rFonts w:hint="eastAsia" w:ascii="宋体" w:hAnsi="宋体"/>
                <w:szCs w:val="21"/>
              </w:rPr>
              <w:t>NB/T 47013-2015</w:t>
            </w:r>
          </w:p>
        </w:tc>
        <w:tc>
          <w:tcPr>
            <w:tcW w:w="0" w:type="auto"/>
            <w:gridSpan w:val="6"/>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12</w:t>
            </w:r>
          </w:p>
        </w:tc>
        <w:tc>
          <w:tcPr>
            <w:tcW w:w="3888" w:type="dxa"/>
            <w:tcBorders>
              <w:tl2br w:val="nil"/>
              <w:tr2bl w:val="nil"/>
            </w:tcBorders>
            <w:vAlign w:val="center"/>
          </w:tcPr>
          <w:p>
            <w:pPr>
              <w:rPr>
                <w:rFonts w:ascii="宋体" w:hAnsi="宋体"/>
                <w:szCs w:val="21"/>
              </w:rPr>
            </w:pPr>
            <w:r>
              <w:rPr>
                <w:rFonts w:hint="eastAsia" w:ascii="宋体" w:hAnsi="宋体"/>
                <w:szCs w:val="21"/>
              </w:rPr>
              <w:t>《压力管道安全技术监察规程—工业管道》</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D0001-2009</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0" w:type="auto"/>
            <w:tcBorders>
              <w:tl2br w:val="nil"/>
              <w:tr2bl w:val="nil"/>
            </w:tcBorders>
            <w:vAlign w:val="center"/>
          </w:tcPr>
          <w:p>
            <w:pPr>
              <w:jc w:val="center"/>
              <w:rPr>
                <w:rFonts w:ascii="宋体" w:hAnsi="宋体"/>
                <w:szCs w:val="21"/>
              </w:rPr>
            </w:pPr>
            <w:r>
              <w:rPr>
                <w:rFonts w:hint="eastAsia" w:ascii="宋体" w:hAnsi="宋体"/>
                <w:szCs w:val="21"/>
              </w:rPr>
              <w:t>/</w:t>
            </w:r>
          </w:p>
        </w:tc>
        <w:tc>
          <w:tcPr>
            <w:tcW w:w="0" w:type="auto"/>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0" w:type="auto"/>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0" w:type="auto"/>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13</w:t>
            </w:r>
          </w:p>
        </w:tc>
        <w:tc>
          <w:tcPr>
            <w:tcW w:w="3888" w:type="dxa"/>
            <w:tcBorders>
              <w:tl2br w:val="nil"/>
              <w:tr2bl w:val="nil"/>
            </w:tcBorders>
            <w:vAlign w:val="center"/>
          </w:tcPr>
          <w:p>
            <w:pPr>
              <w:rPr>
                <w:rFonts w:ascii="宋体" w:hAnsi="宋体"/>
                <w:szCs w:val="21"/>
              </w:rPr>
            </w:pPr>
            <w:r>
              <w:rPr>
                <w:rFonts w:hint="eastAsia" w:ascii="宋体" w:hAnsi="宋体"/>
                <w:szCs w:val="21"/>
              </w:rPr>
              <w:t>《工业金属管道设计规范》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50316-2000（2008年版）</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14</w:t>
            </w:r>
          </w:p>
        </w:tc>
        <w:tc>
          <w:tcPr>
            <w:tcW w:w="3888" w:type="dxa"/>
            <w:tcBorders>
              <w:tl2br w:val="nil"/>
              <w:tr2bl w:val="nil"/>
            </w:tcBorders>
            <w:vAlign w:val="center"/>
          </w:tcPr>
          <w:p>
            <w:pPr>
              <w:rPr>
                <w:rFonts w:ascii="宋体" w:hAnsi="宋体"/>
                <w:szCs w:val="21"/>
              </w:rPr>
            </w:pPr>
            <w:r>
              <w:rPr>
                <w:rFonts w:hint="eastAsia" w:ascii="宋体" w:hAnsi="宋体"/>
                <w:szCs w:val="21"/>
              </w:rPr>
              <w:t>《现场设备、工业管道焊接工程施工规范》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50236-2011</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15</w:t>
            </w:r>
          </w:p>
        </w:tc>
        <w:tc>
          <w:tcPr>
            <w:tcW w:w="3888" w:type="dxa"/>
            <w:tcBorders>
              <w:tl2br w:val="nil"/>
              <w:tr2bl w:val="nil"/>
            </w:tcBorders>
            <w:vAlign w:val="center"/>
          </w:tcPr>
          <w:p>
            <w:pPr>
              <w:rPr>
                <w:rFonts w:ascii="宋体" w:hAnsi="宋体"/>
                <w:szCs w:val="21"/>
              </w:rPr>
            </w:pPr>
            <w:r>
              <w:rPr>
                <w:rFonts w:hint="eastAsia" w:ascii="宋体" w:hAnsi="宋体"/>
                <w:szCs w:val="21"/>
              </w:rPr>
              <w:t>《工业金属管道工程施工规范》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50235-2010</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16</w:t>
            </w:r>
          </w:p>
        </w:tc>
        <w:tc>
          <w:tcPr>
            <w:tcW w:w="3888" w:type="dxa"/>
            <w:tcBorders>
              <w:tl2br w:val="nil"/>
              <w:tr2bl w:val="nil"/>
            </w:tcBorders>
            <w:vAlign w:val="center"/>
          </w:tcPr>
          <w:p>
            <w:pPr>
              <w:rPr>
                <w:rFonts w:ascii="宋体" w:hAnsi="宋体"/>
                <w:szCs w:val="21"/>
              </w:rPr>
            </w:pPr>
            <w:r>
              <w:rPr>
                <w:rFonts w:hint="eastAsia" w:ascii="宋体" w:hAnsi="宋体"/>
                <w:szCs w:val="21"/>
              </w:rPr>
              <w:t>《现场设备、工业管道焊接工程施工质量验收规范》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50683-2011</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17</w:t>
            </w:r>
          </w:p>
        </w:tc>
        <w:tc>
          <w:tcPr>
            <w:tcW w:w="3888" w:type="dxa"/>
            <w:tcBorders>
              <w:tl2br w:val="nil"/>
              <w:tr2bl w:val="nil"/>
            </w:tcBorders>
            <w:vAlign w:val="center"/>
          </w:tcPr>
          <w:p>
            <w:pPr>
              <w:rPr>
                <w:rFonts w:ascii="宋体" w:hAnsi="宋体"/>
                <w:szCs w:val="21"/>
              </w:rPr>
            </w:pPr>
            <w:r>
              <w:rPr>
                <w:rFonts w:hint="eastAsia" w:ascii="宋体" w:hAnsi="宋体"/>
                <w:szCs w:val="21"/>
              </w:rPr>
              <w:t>《工业金属管道工程施工质量验收规范》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50184-2011</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18</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《压力管道规范—工业管道》</w:t>
            </w:r>
            <w:r>
              <w:rPr>
                <w:rFonts w:hint="eastAsia" w:ascii="宋体" w:hAnsi="宋体"/>
                <w:szCs w:val="21"/>
              </w:rPr>
              <w:tab/>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GB/T 20801-2020</w:t>
            </w:r>
          </w:p>
          <w:p>
            <w:pPr>
              <w:jc w:val="center"/>
              <w:rPr>
                <w:rFonts w:ascii="宋体" w:hAnsi="宋体"/>
                <w:szCs w:val="21"/>
              </w:rPr>
            </w:pPr>
            <w:r>
              <w:rPr>
                <w:rFonts w:hint="eastAsia" w:ascii="宋体" w:hAnsi="宋体"/>
                <w:szCs w:val="21"/>
              </w:rPr>
              <w:t>（系列）</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19</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《石油化工有毒、可燃介质钢质管道工程施工及验收规范》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SH 3501-2011</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20</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《压力管道规范 - 动力管道》</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GB/T 32270-2015</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21</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《电力建设施工技术规范 第5部分：管道及系统》</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DL 5190.5-2019 </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22</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《电力建设施工质量验收规程 第5部分：焊接》</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DL/T 5210.5-2018</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23</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《压力管道规范—公用管道》</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GB/T38942-2020</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0" w:type="auto"/>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0" w:type="auto"/>
            <w:tcBorders>
              <w:tl2br w:val="nil"/>
              <w:tr2bl w:val="nil"/>
            </w:tcBorders>
            <w:vAlign w:val="center"/>
          </w:tcPr>
          <w:p>
            <w:pPr>
              <w:jc w:val="center"/>
              <w:rPr>
                <w:rFonts w:ascii="宋体" w:hAnsi="宋体"/>
                <w:szCs w:val="21"/>
              </w:rPr>
            </w:pPr>
            <w:r>
              <w:rPr>
                <w:rFonts w:hint="eastAsia" w:ascii="宋体" w:hAnsi="宋体"/>
                <w:szCs w:val="21"/>
              </w:rPr>
              <w:t>/</w:t>
            </w:r>
          </w:p>
        </w:tc>
        <w:tc>
          <w:tcPr>
            <w:tcW w:w="0" w:type="auto"/>
            <w:tcBorders>
              <w:tl2br w:val="nil"/>
              <w:tr2bl w:val="nil"/>
            </w:tcBorders>
            <w:vAlign w:val="center"/>
          </w:tcPr>
          <w:p>
            <w:pPr>
              <w:jc w:val="center"/>
              <w:rPr>
                <w:rFonts w:ascii="宋体" w:hAnsi="宋体"/>
                <w:szCs w:val="21"/>
              </w:rPr>
            </w:pPr>
            <w:r>
              <w:rPr>
                <w:rFonts w:hint="eastAsia" w:ascii="宋体" w:hAnsi="宋体"/>
                <w:szCs w:val="21"/>
              </w:rPr>
              <w:t>/</w:t>
            </w:r>
          </w:p>
        </w:tc>
        <w:tc>
          <w:tcPr>
            <w:tcW w:w="0" w:type="auto"/>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24</w:t>
            </w:r>
          </w:p>
        </w:tc>
        <w:tc>
          <w:tcPr>
            <w:tcW w:w="3888" w:type="dxa"/>
            <w:tcBorders>
              <w:tl2br w:val="nil"/>
              <w:tr2bl w:val="nil"/>
            </w:tcBorders>
            <w:vAlign w:val="center"/>
          </w:tcPr>
          <w:p>
            <w:pPr>
              <w:tabs>
                <w:tab w:val="left" w:pos="3444"/>
              </w:tabs>
              <w:rPr>
                <w:rFonts w:ascii="宋体" w:hAnsi="宋体"/>
                <w:szCs w:val="21"/>
              </w:rPr>
            </w:pPr>
            <w:r>
              <w:rPr>
                <w:rFonts w:hint="eastAsia" w:ascii="宋体" w:hAnsi="宋体"/>
                <w:szCs w:val="21"/>
              </w:rPr>
              <w:t>《城镇燃气设计规范》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50028-2006（2020年版）</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25</w:t>
            </w:r>
          </w:p>
        </w:tc>
        <w:tc>
          <w:tcPr>
            <w:tcW w:w="3888" w:type="dxa"/>
            <w:tcBorders>
              <w:tl2br w:val="nil"/>
              <w:tr2bl w:val="nil"/>
            </w:tcBorders>
            <w:vAlign w:val="center"/>
          </w:tcPr>
          <w:p>
            <w:pPr>
              <w:rPr>
                <w:rFonts w:ascii="宋体" w:hAnsi="宋体"/>
                <w:szCs w:val="21"/>
              </w:rPr>
            </w:pPr>
            <w:r>
              <w:rPr>
                <w:rFonts w:hint="eastAsia" w:ascii="宋体" w:hAnsi="宋体"/>
                <w:szCs w:val="21"/>
              </w:rPr>
              <w:t>《燃气用聚乙烯管道焊接技术规则》</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TSG D2002-2006</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26</w:t>
            </w:r>
          </w:p>
        </w:tc>
        <w:tc>
          <w:tcPr>
            <w:tcW w:w="3888" w:type="dxa"/>
            <w:tcBorders>
              <w:tl2br w:val="nil"/>
              <w:tr2bl w:val="nil"/>
            </w:tcBorders>
            <w:vAlign w:val="center"/>
          </w:tcPr>
          <w:p>
            <w:pPr>
              <w:rPr>
                <w:rFonts w:ascii="宋体" w:hAnsi="宋体"/>
                <w:szCs w:val="21"/>
              </w:rPr>
            </w:pPr>
            <w:r>
              <w:rPr>
                <w:rFonts w:hint="eastAsia" w:ascii="宋体" w:hAnsi="宋体"/>
                <w:szCs w:val="21"/>
              </w:rPr>
              <w:t>《聚乙烯燃气管道工程技术标准》</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CJJ 63-2018 </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27</w:t>
            </w:r>
          </w:p>
        </w:tc>
        <w:tc>
          <w:tcPr>
            <w:tcW w:w="3888" w:type="dxa"/>
            <w:tcBorders>
              <w:tl2br w:val="nil"/>
              <w:tr2bl w:val="nil"/>
            </w:tcBorders>
            <w:vAlign w:val="center"/>
          </w:tcPr>
          <w:p>
            <w:pPr>
              <w:rPr>
                <w:rFonts w:ascii="宋体" w:hAnsi="宋体"/>
                <w:szCs w:val="21"/>
              </w:rPr>
            </w:pPr>
            <w:r>
              <w:rPr>
                <w:rFonts w:hint="eastAsia" w:ascii="宋体" w:hAnsi="宋体"/>
                <w:szCs w:val="21"/>
              </w:rPr>
              <w:t xml:space="preserve">《城镇燃气输配工程施工及验收规范》  </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CJJ 33-2005</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28</w:t>
            </w:r>
          </w:p>
        </w:tc>
        <w:tc>
          <w:tcPr>
            <w:tcW w:w="3888" w:type="dxa"/>
            <w:tcBorders>
              <w:tl2br w:val="nil"/>
              <w:tr2bl w:val="nil"/>
            </w:tcBorders>
            <w:vAlign w:val="center"/>
          </w:tcPr>
          <w:p>
            <w:pPr>
              <w:rPr>
                <w:rFonts w:ascii="宋体" w:hAnsi="宋体"/>
                <w:szCs w:val="21"/>
              </w:rPr>
            </w:pPr>
            <w:r>
              <w:rPr>
                <w:rFonts w:hint="eastAsia" w:ascii="宋体" w:hAnsi="宋体"/>
                <w:szCs w:val="21"/>
              </w:rPr>
              <w:t>《城镇供热管网设计规范》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CJJ34-2010</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29</w:t>
            </w:r>
          </w:p>
        </w:tc>
        <w:tc>
          <w:tcPr>
            <w:tcW w:w="3888" w:type="dxa"/>
            <w:tcBorders>
              <w:tl2br w:val="nil"/>
              <w:tr2bl w:val="nil"/>
            </w:tcBorders>
            <w:vAlign w:val="center"/>
          </w:tcPr>
          <w:p>
            <w:pPr>
              <w:rPr>
                <w:rFonts w:ascii="宋体" w:hAnsi="宋体"/>
                <w:szCs w:val="21"/>
              </w:rPr>
            </w:pPr>
            <w:r>
              <w:rPr>
                <w:rFonts w:hint="eastAsia" w:ascii="宋体" w:hAnsi="宋体"/>
                <w:szCs w:val="21"/>
              </w:rPr>
              <w:t>《城镇供热管网工程施工及验收规范》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CJJ 28-2014 </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30</w:t>
            </w:r>
          </w:p>
        </w:tc>
        <w:tc>
          <w:tcPr>
            <w:tcW w:w="3888" w:type="dxa"/>
            <w:tcBorders>
              <w:tl2br w:val="nil"/>
              <w:tr2bl w:val="nil"/>
            </w:tcBorders>
            <w:vAlign w:val="center"/>
          </w:tcPr>
          <w:p>
            <w:pPr>
              <w:rPr>
                <w:rFonts w:ascii="宋体" w:hAnsi="宋体"/>
                <w:szCs w:val="21"/>
              </w:rPr>
            </w:pPr>
            <w:r>
              <w:rPr>
                <w:rFonts w:hint="eastAsia" w:ascii="宋体" w:hAnsi="宋体"/>
                <w:szCs w:val="21"/>
              </w:rPr>
              <w:t>《输气管道工程设计规范》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50251-2015</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31</w:t>
            </w:r>
          </w:p>
        </w:tc>
        <w:tc>
          <w:tcPr>
            <w:tcW w:w="3888" w:type="dxa"/>
            <w:tcBorders>
              <w:tl2br w:val="nil"/>
              <w:tr2bl w:val="nil"/>
            </w:tcBorders>
            <w:vAlign w:val="center"/>
          </w:tcPr>
          <w:p>
            <w:pPr>
              <w:rPr>
                <w:rFonts w:ascii="宋体" w:hAnsi="宋体"/>
                <w:szCs w:val="21"/>
              </w:rPr>
            </w:pPr>
            <w:r>
              <w:rPr>
                <w:rFonts w:hint="eastAsia" w:ascii="宋体" w:hAnsi="宋体"/>
                <w:szCs w:val="21"/>
              </w:rPr>
              <w:t>《输油管道工程设计规范》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GB 50253-2014</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32</w:t>
            </w:r>
          </w:p>
        </w:tc>
        <w:tc>
          <w:tcPr>
            <w:tcW w:w="3888" w:type="dxa"/>
            <w:tcBorders>
              <w:tl2br w:val="nil"/>
              <w:tr2bl w:val="nil"/>
            </w:tcBorders>
            <w:vAlign w:val="center"/>
          </w:tcPr>
          <w:p>
            <w:pPr>
              <w:rPr>
                <w:rFonts w:ascii="宋体" w:hAnsi="宋体"/>
                <w:szCs w:val="21"/>
              </w:rPr>
            </w:pPr>
            <w:r>
              <w:rPr>
                <w:rFonts w:hint="eastAsia" w:ascii="宋体" w:hAnsi="宋体"/>
                <w:szCs w:val="21"/>
              </w:rPr>
              <w:t>《油气长输管道工程施工及验收规范》</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GB 50369-2014 </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33</w:t>
            </w:r>
          </w:p>
        </w:tc>
        <w:tc>
          <w:tcPr>
            <w:tcW w:w="3888" w:type="dxa"/>
            <w:tcBorders>
              <w:tl2br w:val="nil"/>
              <w:tr2bl w:val="nil"/>
            </w:tcBorders>
            <w:vAlign w:val="center"/>
          </w:tcPr>
          <w:p>
            <w:pPr>
              <w:rPr>
                <w:rFonts w:ascii="宋体" w:hAnsi="宋体"/>
                <w:szCs w:val="21"/>
              </w:rPr>
            </w:pPr>
            <w:r>
              <w:rPr>
                <w:rFonts w:hint="eastAsia" w:ascii="宋体" w:hAnsi="宋体"/>
                <w:szCs w:val="21"/>
              </w:rPr>
              <w:t>《石油天然气钢质管道无损检测》</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SY/T 4109-2020</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34</w:t>
            </w:r>
          </w:p>
        </w:tc>
        <w:tc>
          <w:tcPr>
            <w:tcW w:w="3888" w:type="dxa"/>
            <w:tcBorders>
              <w:tl2br w:val="nil"/>
              <w:tr2bl w:val="nil"/>
            </w:tcBorders>
            <w:vAlign w:val="center"/>
          </w:tcPr>
          <w:p>
            <w:pPr>
              <w:rPr>
                <w:rFonts w:ascii="宋体" w:hAnsi="宋体"/>
                <w:szCs w:val="21"/>
              </w:rPr>
            </w:pPr>
            <w:r>
              <w:rPr>
                <w:rFonts w:hint="eastAsia" w:ascii="宋体" w:hAnsi="宋体"/>
                <w:szCs w:val="21"/>
              </w:rPr>
              <w:t>《钢质管道焊接及验收》</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GB/T 31032-2014 </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0" w:type="auto"/>
            <w:tcBorders>
              <w:tl2br w:val="nil"/>
              <w:tr2bl w:val="nil"/>
            </w:tcBorders>
            <w:vAlign w:val="center"/>
          </w:tcPr>
          <w:p>
            <w:pPr>
              <w:jc w:val="center"/>
              <w:rPr>
                <w:rFonts w:ascii="宋体" w:hAnsi="宋体"/>
                <w:sz w:val="20"/>
                <w:szCs w:val="20"/>
              </w:rPr>
            </w:pPr>
            <w:r>
              <w:rPr>
                <w:rFonts w:hint="eastAsia" w:ascii="宋体" w:hAnsi="宋体"/>
                <w:sz w:val="20"/>
                <w:szCs w:val="20"/>
              </w:rPr>
              <w:t>35</w:t>
            </w:r>
          </w:p>
        </w:tc>
        <w:tc>
          <w:tcPr>
            <w:tcW w:w="3888" w:type="dxa"/>
            <w:tcBorders>
              <w:tl2br w:val="nil"/>
              <w:tr2bl w:val="nil"/>
            </w:tcBorders>
            <w:vAlign w:val="center"/>
          </w:tcPr>
          <w:p>
            <w:pPr>
              <w:rPr>
                <w:rFonts w:ascii="宋体" w:hAnsi="宋体"/>
                <w:szCs w:val="21"/>
              </w:rPr>
            </w:pPr>
            <w:r>
              <w:rPr>
                <w:rFonts w:hint="eastAsia" w:ascii="宋体" w:hAnsi="宋体"/>
                <w:szCs w:val="21"/>
              </w:rPr>
              <w:t>《石油天然气工业管线输送系统用钢管》</w:t>
            </w:r>
          </w:p>
        </w:tc>
        <w:tc>
          <w:tcPr>
            <w:tcW w:w="1955" w:type="dxa"/>
            <w:tcBorders>
              <w:tl2br w:val="nil"/>
              <w:tr2bl w:val="nil"/>
            </w:tcBorders>
            <w:vAlign w:val="center"/>
          </w:tcPr>
          <w:p>
            <w:pPr>
              <w:jc w:val="center"/>
              <w:rPr>
                <w:rFonts w:ascii="宋体" w:hAnsi="宋体"/>
                <w:szCs w:val="21"/>
              </w:rPr>
            </w:pPr>
            <w:r>
              <w:rPr>
                <w:rFonts w:hint="eastAsia" w:ascii="宋体" w:hAnsi="宋体"/>
                <w:szCs w:val="21"/>
              </w:rPr>
              <w:t xml:space="preserve">GB/T 9711-2017 </w:t>
            </w:r>
          </w:p>
        </w:tc>
        <w:tc>
          <w:tcPr>
            <w:tcW w:w="489" w:type="dxa"/>
            <w:tcBorders>
              <w:tl2br w:val="nil"/>
              <w:tr2bl w:val="nil"/>
            </w:tcBorders>
            <w:vAlign w:val="center"/>
          </w:tcPr>
          <w:p>
            <w:pPr>
              <w:jc w:val="center"/>
              <w:rPr>
                <w:rFonts w:ascii="宋体" w:hAnsi="宋体"/>
                <w:szCs w:val="21"/>
              </w:rPr>
            </w:pPr>
            <w:r>
              <w:rPr>
                <w:rFonts w:hint="eastAsia" w:ascii="宋体" w:hAnsi="宋体" w:cs="宋体"/>
                <w:bCs/>
                <w:kern w:val="36"/>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cs="宋体"/>
                <w:bCs/>
                <w:kern w:val="36"/>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c>
          <w:tcPr>
            <w:tcW w:w="489" w:type="dxa"/>
            <w:tcBorders>
              <w:tl2br w:val="nil"/>
              <w:tr2bl w:val="nil"/>
            </w:tcBorders>
            <w:vAlign w:val="center"/>
          </w:tcPr>
          <w:p>
            <w:pPr>
              <w:jc w:val="center"/>
              <w:rPr>
                <w:rFonts w:ascii="宋体" w:hAnsi="宋体"/>
                <w:szCs w:val="21"/>
              </w:rPr>
            </w:pPr>
            <w:r>
              <w:rPr>
                <w:rFonts w:hint="eastAsia" w:ascii="宋体" w:hAnsi="宋体"/>
                <w:szCs w:val="21"/>
              </w:rPr>
              <w:t>/</w:t>
            </w:r>
          </w:p>
        </w:tc>
      </w:tr>
    </w:tbl>
    <w:p>
      <w:pPr>
        <w:spacing w:line="360" w:lineRule="auto"/>
        <w:rPr>
          <w:rFonts w:ascii="宋体" w:hAnsi="宋体"/>
          <w:sz w:val="24"/>
        </w:rPr>
      </w:pPr>
    </w:p>
    <w:p>
      <w:pPr>
        <w:tabs>
          <w:tab w:val="left" w:pos="2490"/>
        </w:tabs>
        <w:spacing w:line="480" w:lineRule="auto"/>
        <w:outlineLvl w:val="0"/>
        <w:rPr>
          <w:rFonts w:ascii="宋体" w:hAnsi="宋体" w:cs="黑体"/>
          <w:b/>
          <w:sz w:val="24"/>
        </w:rPr>
      </w:pPr>
      <w:r>
        <w:rPr>
          <w:rFonts w:hint="eastAsia" w:ascii="宋体" w:hAnsi="宋体" w:cs="黑体"/>
          <w:b/>
          <w:sz w:val="24"/>
        </w:rPr>
        <w:t>4.2质量保证体系的评审</w:t>
      </w:r>
    </w:p>
    <w:p>
      <w:pPr>
        <w:spacing w:line="360" w:lineRule="auto"/>
        <w:rPr>
          <w:rFonts w:ascii="宋体"/>
          <w:sz w:val="24"/>
        </w:rPr>
      </w:pPr>
      <w:r>
        <w:rPr>
          <w:rFonts w:ascii="宋体" w:hAnsi="宋体"/>
          <w:sz w:val="24"/>
        </w:rPr>
        <w:t xml:space="preserve">    </w:t>
      </w:r>
      <w:r>
        <w:rPr>
          <w:rFonts w:hint="eastAsia" w:ascii="宋体" w:hAnsi="宋体"/>
          <w:sz w:val="24"/>
        </w:rPr>
        <w:t>鉴定评审组对申请机构的质量保证体系的建立与实施情况进行评审。通过查阅质量保证体系文件、实施见证、与申请单位沟通交流、与当地特种设备安全监督管理部门进行交流等方式，评审质量保证体系的建立与实施情况。</w:t>
      </w:r>
    </w:p>
    <w:p>
      <w:pPr>
        <w:spacing w:line="360" w:lineRule="auto"/>
        <w:rPr>
          <w:rFonts w:ascii="宋体" w:hAnsi="宋体"/>
          <w:sz w:val="24"/>
        </w:rPr>
      </w:pPr>
      <w:r>
        <w:rPr>
          <w:rFonts w:hint="eastAsia" w:ascii="宋体" w:hAnsi="宋体"/>
          <w:sz w:val="24"/>
        </w:rPr>
        <w:t>4</w:t>
      </w:r>
      <w:r>
        <w:rPr>
          <w:rFonts w:ascii="宋体" w:hAnsi="宋体"/>
          <w:sz w:val="24"/>
        </w:rPr>
        <w:t>.3</w:t>
      </w:r>
      <w:r>
        <w:rPr>
          <w:rFonts w:hint="eastAsia" w:ascii="宋体" w:hAnsi="宋体"/>
          <w:sz w:val="24"/>
        </w:rPr>
        <w:t>安装工程安全性能的保证能力</w:t>
      </w:r>
    </w:p>
    <w:p>
      <w:pPr>
        <w:spacing w:line="360" w:lineRule="auto"/>
        <w:rPr>
          <w:rFonts w:ascii="宋体" w:hAnsi="宋体"/>
          <w:sz w:val="24"/>
        </w:rPr>
      </w:pPr>
      <w:r>
        <w:rPr>
          <w:rFonts w:hint="eastAsia" w:ascii="宋体" w:hAnsi="宋体"/>
          <w:sz w:val="24"/>
        </w:rPr>
        <w:t>4.3.1安装单位能根据对应许可级别的压力管道安装工程编制切实可行且能保证安全性能的施工组织设计或者施工方案；</w:t>
      </w:r>
    </w:p>
    <w:p>
      <w:pPr>
        <w:spacing w:line="360" w:lineRule="auto"/>
        <w:rPr>
          <w:rFonts w:ascii="宋体" w:hAnsi="宋体"/>
          <w:sz w:val="24"/>
        </w:rPr>
      </w:pPr>
      <w:r>
        <w:rPr>
          <w:rFonts w:hint="eastAsia" w:ascii="宋体" w:hAnsi="宋体"/>
          <w:sz w:val="24"/>
        </w:rPr>
        <w:t>4.3.2能够按照相应的安全技术规范及相关标准进行安装，并且在安装工程中体现质量保证体系的有效实施，提供完整的安装工程质量证明文件，保证施工质量满足安全使用要求；</w:t>
      </w:r>
    </w:p>
    <w:p>
      <w:pPr>
        <w:spacing w:line="360" w:lineRule="auto"/>
        <w:rPr>
          <w:rFonts w:ascii="宋体" w:hAnsi="宋体"/>
          <w:sz w:val="24"/>
        </w:rPr>
      </w:pPr>
      <w:r>
        <w:rPr>
          <w:rFonts w:hint="eastAsia" w:ascii="宋体" w:hAnsi="宋体"/>
          <w:sz w:val="24"/>
        </w:rPr>
        <w:t>4.3.3安装单位应当具有与压力管道安装相关的焊接、热处理、无损检测、耐压试验、泄漏试验等工艺文件；</w:t>
      </w:r>
    </w:p>
    <w:p>
      <w:pPr>
        <w:spacing w:line="360" w:lineRule="auto"/>
        <w:rPr>
          <w:rFonts w:ascii="宋体" w:hAnsi="宋体"/>
          <w:sz w:val="24"/>
        </w:rPr>
      </w:pPr>
      <w:r>
        <w:rPr>
          <w:rFonts w:hint="eastAsia" w:ascii="宋体" w:hAnsi="宋体"/>
          <w:sz w:val="24"/>
        </w:rPr>
        <w:t>4.3.4安装单位应当依据有关安全技术规范及相关标准，建立覆盖本单位所有安装工程的焊接工艺规程和焊接工艺评定，焊接工艺评定应当在本单位进行，由本单位熟练焊工使用本单位的设备设施焊接试件。</w:t>
      </w:r>
    </w:p>
    <w:p>
      <w:pPr>
        <w:spacing w:line="360" w:lineRule="auto"/>
        <w:rPr>
          <w:rFonts w:ascii="宋体" w:hAnsi="宋体"/>
          <w:sz w:val="24"/>
        </w:rPr>
      </w:pPr>
      <w:r>
        <w:rPr>
          <w:rFonts w:hint="eastAsia" w:ascii="宋体" w:hAnsi="宋体"/>
          <w:sz w:val="24"/>
        </w:rPr>
        <w:t>4.4试安装</w:t>
      </w:r>
    </w:p>
    <w:p>
      <w:pPr>
        <w:spacing w:line="360" w:lineRule="auto"/>
        <w:rPr>
          <w:rFonts w:ascii="宋体" w:hAnsi="宋体"/>
          <w:sz w:val="24"/>
        </w:rPr>
      </w:pPr>
      <w:r>
        <w:rPr>
          <w:rFonts w:hint="eastAsia" w:ascii="宋体" w:hAnsi="宋体"/>
          <w:sz w:val="24"/>
        </w:rPr>
        <w:t>4.4.1 试安装应当是相应最高级别的压力管道安装工程。</w:t>
      </w:r>
    </w:p>
    <w:p>
      <w:pPr>
        <w:spacing w:line="360" w:lineRule="auto"/>
        <w:rPr>
          <w:rFonts w:ascii="宋体" w:hAnsi="宋体"/>
          <w:sz w:val="24"/>
        </w:rPr>
      </w:pPr>
      <w:r>
        <w:rPr>
          <w:rFonts w:hint="eastAsia" w:ascii="宋体" w:hAnsi="宋体"/>
          <w:sz w:val="24"/>
        </w:rPr>
        <w:t>4.4.2 试安装工程的设计和压力管道元件制造应当符合有关安全技术规范的规定。</w:t>
      </w:r>
    </w:p>
    <w:p>
      <w:pPr>
        <w:spacing w:line="360" w:lineRule="auto"/>
        <w:rPr>
          <w:rFonts w:ascii="宋体" w:hAnsi="宋体"/>
          <w:sz w:val="24"/>
        </w:rPr>
      </w:pPr>
      <w:r>
        <w:rPr>
          <w:rFonts w:hint="eastAsia" w:ascii="宋体" w:hAnsi="宋体"/>
          <w:sz w:val="24"/>
        </w:rPr>
        <w:t>4.4.3 试安装工程应当接受监督检验。安装单位通过压力管道试安装工程项目证明其已具备所申请许可项目的条件要求和能力。申请的各许可级别的试安装工程项目，应当满足监督检验规则中关于安装、改造、重大修理需进行监督检验的项目要求，各限1项并且覆盖安装过程主要工序(包括压力管道元件安装、焊接、无损检测、压力试验、防腐等)。</w:t>
      </w:r>
    </w:p>
    <w:p>
      <w:pPr>
        <w:spacing w:line="360" w:lineRule="auto"/>
        <w:rPr>
          <w:rFonts w:ascii="宋体" w:hAnsi="宋体"/>
          <w:sz w:val="24"/>
        </w:rPr>
      </w:pPr>
      <w:r>
        <w:rPr>
          <w:rFonts w:hint="eastAsia" w:ascii="宋体" w:hAnsi="宋体"/>
          <w:sz w:val="24"/>
        </w:rPr>
        <w:t>4.4.4 试安装工程应当经总体验收合格。</w:t>
      </w:r>
    </w:p>
    <w:p>
      <w:pPr>
        <w:tabs>
          <w:tab w:val="left" w:pos="2490"/>
        </w:tabs>
        <w:spacing w:line="480" w:lineRule="auto"/>
        <w:outlineLvl w:val="0"/>
        <w:rPr>
          <w:rFonts w:ascii="宋体" w:hAnsi="宋体" w:cs="黑体"/>
          <w:b/>
          <w:sz w:val="24"/>
        </w:rPr>
      </w:pPr>
      <w:r>
        <w:rPr>
          <w:rFonts w:hint="eastAsia" w:ascii="宋体" w:hAnsi="宋体" w:cs="黑体"/>
          <w:b/>
          <w:sz w:val="24"/>
        </w:rPr>
        <w:t>4.3.2换证业绩</w:t>
      </w:r>
    </w:p>
    <w:p>
      <w:pPr>
        <w:spacing w:line="360" w:lineRule="auto"/>
        <w:ind w:firstLine="480" w:firstLineChars="200"/>
        <w:rPr>
          <w:rFonts w:ascii="宋体" w:hAnsi="宋体"/>
          <w:sz w:val="24"/>
        </w:rPr>
      </w:pPr>
      <w:r>
        <w:rPr>
          <w:rFonts w:hint="eastAsia" w:ascii="宋体" w:hAnsi="宋体"/>
          <w:sz w:val="24"/>
        </w:rPr>
        <w:t>安装单位换证时，应当在许可周期内具有相应许可最高级别的安装业绩至少1项，并且满足监督检验规则中关于安装、改造、重大修理需进行监督检验的项目要求，覆盖安装过程主要工序(包括压力管道元件安装、焊接、无损检测、压力试验、防腐等)。否则按照首次申请取证或者增项的要求准备试安装工程。</w:t>
      </w:r>
    </w:p>
    <w:p>
      <w:pPr>
        <w:spacing w:line="360" w:lineRule="auto"/>
        <w:ind w:firstLine="480" w:firstLineChars="200"/>
        <w:rPr>
          <w:rFonts w:ascii="宋体" w:hAnsi="宋体"/>
          <w:sz w:val="24"/>
        </w:rPr>
      </w:pPr>
      <w:r>
        <w:rPr>
          <w:rFonts w:hint="eastAsia" w:ascii="宋体" w:hAnsi="宋体"/>
          <w:sz w:val="24"/>
        </w:rPr>
        <w:t>当安装单位在许可周期内压力管道安装工程业绩较多，抽取工程质量竣工资料的原则是：</w:t>
      </w:r>
    </w:p>
    <w:p>
      <w:pPr>
        <w:spacing w:line="360" w:lineRule="auto"/>
        <w:ind w:firstLine="480" w:firstLineChars="200"/>
        <w:rPr>
          <w:rFonts w:ascii="宋体" w:hAnsi="宋体"/>
          <w:sz w:val="24"/>
        </w:rPr>
      </w:pPr>
      <w:r>
        <w:rPr>
          <w:rFonts w:hint="eastAsia" w:ascii="宋体" w:hAnsi="宋体"/>
          <w:sz w:val="24"/>
        </w:rPr>
        <w:t>（1）尽可能抽查新的安全技术规范实施后的竣工资料；</w:t>
      </w:r>
    </w:p>
    <w:p>
      <w:pPr>
        <w:spacing w:line="360" w:lineRule="auto"/>
        <w:ind w:firstLine="480" w:firstLineChars="200"/>
        <w:rPr>
          <w:rFonts w:ascii="宋体" w:hAnsi="宋体"/>
          <w:sz w:val="24"/>
        </w:rPr>
      </w:pPr>
      <w:r>
        <w:rPr>
          <w:rFonts w:hint="eastAsia" w:ascii="宋体" w:hAnsi="宋体"/>
          <w:sz w:val="24"/>
        </w:rPr>
        <w:t>（2）应覆盖申请范围所涉及的压力管道安装级别；</w:t>
      </w:r>
    </w:p>
    <w:p>
      <w:pPr>
        <w:spacing w:line="360" w:lineRule="auto"/>
        <w:ind w:firstLine="480" w:firstLineChars="200"/>
        <w:rPr>
          <w:rFonts w:ascii="宋体" w:hAnsi="宋体"/>
          <w:sz w:val="24"/>
        </w:rPr>
      </w:pPr>
      <w:r>
        <w:rPr>
          <w:rFonts w:hint="eastAsia" w:ascii="宋体" w:hAnsi="宋体"/>
          <w:sz w:val="24"/>
        </w:rPr>
        <w:t>（3）抽查申请单位持证期间涉及的《监检工作联络单》、《监检意见通知书》所提问题整改见证等相关材料。</w:t>
      </w:r>
    </w:p>
    <w:p>
      <w:pPr>
        <w:tabs>
          <w:tab w:val="left" w:pos="2490"/>
        </w:tabs>
        <w:spacing w:line="480" w:lineRule="auto"/>
        <w:outlineLvl w:val="0"/>
        <w:rPr>
          <w:rFonts w:ascii="宋体" w:hAnsi="宋体" w:cs="黑体"/>
          <w:b/>
          <w:sz w:val="24"/>
        </w:rPr>
      </w:pPr>
      <w:r>
        <w:rPr>
          <w:rFonts w:hint="eastAsia" w:ascii="宋体" w:hAnsi="宋体" w:cs="黑体"/>
          <w:b/>
          <w:sz w:val="24"/>
        </w:rPr>
        <w:t>5  需要提供的满足许可的相关见证</w:t>
      </w:r>
    </w:p>
    <w:p>
      <w:pPr>
        <w:tabs>
          <w:tab w:val="left" w:pos="2490"/>
        </w:tabs>
        <w:spacing w:line="480" w:lineRule="auto"/>
        <w:outlineLvl w:val="0"/>
        <w:rPr>
          <w:rFonts w:ascii="宋体" w:hAnsi="宋体" w:cs="黑体"/>
          <w:b/>
          <w:sz w:val="24"/>
        </w:rPr>
      </w:pPr>
      <w:r>
        <w:rPr>
          <w:rFonts w:hint="eastAsia" w:ascii="宋体" w:hAnsi="宋体" w:cs="黑体"/>
          <w:b/>
          <w:sz w:val="24"/>
        </w:rPr>
        <w:t>5.1资源条件方面</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984"/>
        <w:gridCol w:w="3402"/>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szCs w:val="21"/>
              </w:rPr>
            </w:pPr>
            <w:r>
              <w:rPr>
                <w:rFonts w:hint="eastAsia" w:ascii="宋体" w:hAnsi="宋体"/>
                <w:szCs w:val="21"/>
              </w:rPr>
              <w:t>序号</w:t>
            </w:r>
          </w:p>
        </w:tc>
        <w:tc>
          <w:tcPr>
            <w:tcW w:w="1276" w:type="dxa"/>
            <w:tcBorders>
              <w:right w:val="single" w:color="auto" w:sz="4" w:space="0"/>
            </w:tcBorders>
            <w:vAlign w:val="center"/>
          </w:tcPr>
          <w:p>
            <w:pPr>
              <w:rPr>
                <w:rFonts w:ascii="宋体"/>
                <w:szCs w:val="21"/>
              </w:rPr>
            </w:pPr>
            <w:r>
              <w:rPr>
                <w:rFonts w:hint="eastAsia" w:ascii="宋体" w:hAnsi="宋体"/>
                <w:szCs w:val="21"/>
              </w:rPr>
              <w:t>评审项目</w:t>
            </w:r>
          </w:p>
        </w:tc>
        <w:tc>
          <w:tcPr>
            <w:tcW w:w="1984" w:type="dxa"/>
            <w:tcBorders>
              <w:left w:val="single" w:color="auto" w:sz="4" w:space="0"/>
            </w:tcBorders>
            <w:vAlign w:val="center"/>
          </w:tcPr>
          <w:p>
            <w:pPr>
              <w:rPr>
                <w:rFonts w:ascii="宋体"/>
                <w:szCs w:val="21"/>
              </w:rPr>
            </w:pPr>
            <w:r>
              <w:rPr>
                <w:rFonts w:hint="eastAsia" w:ascii="宋体" w:hAnsi="宋体"/>
                <w:szCs w:val="21"/>
              </w:rPr>
              <w:t>评审内容与要求</w:t>
            </w:r>
          </w:p>
        </w:tc>
        <w:tc>
          <w:tcPr>
            <w:tcW w:w="3402" w:type="dxa"/>
            <w:vAlign w:val="center"/>
          </w:tcPr>
          <w:p>
            <w:pPr>
              <w:rPr>
                <w:rFonts w:ascii="宋体"/>
                <w:szCs w:val="21"/>
              </w:rPr>
            </w:pPr>
            <w:r>
              <w:rPr>
                <w:rFonts w:hint="eastAsia" w:ascii="宋体" w:hAnsi="宋体"/>
                <w:szCs w:val="21"/>
              </w:rPr>
              <w:t>提供评审验证的相关见证</w:t>
            </w:r>
          </w:p>
        </w:tc>
        <w:tc>
          <w:tcPr>
            <w:tcW w:w="1043" w:type="dxa"/>
            <w:vAlign w:val="center"/>
          </w:tcPr>
          <w:p>
            <w:pPr>
              <w:jc w:val="center"/>
              <w:rPr>
                <w:rFonts w:asci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1</w:t>
            </w:r>
          </w:p>
        </w:tc>
        <w:tc>
          <w:tcPr>
            <w:tcW w:w="1276" w:type="dxa"/>
            <w:tcBorders>
              <w:right w:val="single" w:color="auto" w:sz="4" w:space="0"/>
            </w:tcBorders>
            <w:vAlign w:val="center"/>
          </w:tcPr>
          <w:p>
            <w:pPr>
              <w:rPr>
                <w:rFonts w:ascii="宋体"/>
                <w:szCs w:val="21"/>
              </w:rPr>
            </w:pPr>
            <w:r>
              <w:rPr>
                <w:rFonts w:hint="eastAsia" w:ascii="宋体" w:hAnsi="宋体"/>
                <w:szCs w:val="21"/>
              </w:rPr>
              <w:t>法定资质</w:t>
            </w:r>
          </w:p>
        </w:tc>
        <w:tc>
          <w:tcPr>
            <w:tcW w:w="1984" w:type="dxa"/>
            <w:tcBorders>
              <w:left w:val="single" w:color="auto" w:sz="4" w:space="0"/>
            </w:tcBorders>
            <w:vAlign w:val="center"/>
          </w:tcPr>
          <w:p>
            <w:pPr>
              <w:rPr>
                <w:rFonts w:ascii="宋体"/>
                <w:szCs w:val="21"/>
              </w:rPr>
            </w:pPr>
            <w:r>
              <w:rPr>
                <w:rFonts w:hint="eastAsia" w:ascii="宋体" w:hAnsi="宋体"/>
                <w:szCs w:val="21"/>
              </w:rPr>
              <w:t>具有法人资格</w:t>
            </w:r>
          </w:p>
        </w:tc>
        <w:tc>
          <w:tcPr>
            <w:tcW w:w="3402" w:type="dxa"/>
            <w:vAlign w:val="center"/>
          </w:tcPr>
          <w:p>
            <w:pPr>
              <w:rPr>
                <w:rFonts w:ascii="宋体" w:hAnsi="宋体"/>
                <w:szCs w:val="21"/>
              </w:rPr>
            </w:pPr>
            <w:r>
              <w:rPr>
                <w:rFonts w:hint="eastAsia" w:ascii="宋体" w:hAnsi="宋体"/>
                <w:szCs w:val="21"/>
              </w:rPr>
              <w:t>法人证书</w:t>
            </w:r>
            <w:r>
              <w:rPr>
                <w:rFonts w:ascii="宋体" w:hAnsi="宋体"/>
                <w:szCs w:val="21"/>
              </w:rPr>
              <w:t>/</w:t>
            </w:r>
            <w:r>
              <w:rPr>
                <w:rFonts w:hint="eastAsia" w:ascii="宋体" w:hAnsi="宋体"/>
                <w:szCs w:val="21"/>
              </w:rPr>
              <w:t>营业执照</w:t>
            </w:r>
            <w:r>
              <w:rPr>
                <w:rFonts w:ascii="宋体" w:hAnsi="宋体"/>
                <w:szCs w:val="21"/>
              </w:rPr>
              <w:t xml:space="preserve">  </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1" w:hRule="atLeast"/>
        </w:trPr>
        <w:tc>
          <w:tcPr>
            <w:tcW w:w="817" w:type="dxa"/>
            <w:vAlign w:val="center"/>
          </w:tcPr>
          <w:p>
            <w:pPr>
              <w:rPr>
                <w:rFonts w:ascii="宋体" w:hAnsi="宋体"/>
                <w:szCs w:val="21"/>
              </w:rPr>
            </w:pPr>
            <w:r>
              <w:rPr>
                <w:rFonts w:ascii="宋体" w:hAnsi="宋体"/>
                <w:szCs w:val="21"/>
              </w:rPr>
              <w:t>2</w:t>
            </w:r>
          </w:p>
        </w:tc>
        <w:tc>
          <w:tcPr>
            <w:tcW w:w="1276" w:type="dxa"/>
            <w:tcBorders>
              <w:right w:val="single" w:color="auto" w:sz="4" w:space="0"/>
            </w:tcBorders>
            <w:vAlign w:val="center"/>
          </w:tcPr>
          <w:p>
            <w:pPr>
              <w:rPr>
                <w:rFonts w:ascii="宋体"/>
                <w:szCs w:val="21"/>
              </w:rPr>
            </w:pPr>
            <w:r>
              <w:rPr>
                <w:rFonts w:hint="eastAsia" w:ascii="宋体" w:hAnsi="宋体"/>
                <w:szCs w:val="21"/>
              </w:rPr>
              <w:t>人员配备</w:t>
            </w:r>
          </w:p>
        </w:tc>
        <w:tc>
          <w:tcPr>
            <w:tcW w:w="1984" w:type="dxa"/>
            <w:tcBorders>
              <w:left w:val="single" w:color="auto" w:sz="4" w:space="0"/>
            </w:tcBorders>
            <w:vAlign w:val="center"/>
          </w:tcPr>
          <w:p>
            <w:pPr>
              <w:spacing w:line="240" w:lineRule="exact"/>
              <w:rPr>
                <w:rFonts w:ascii="宋体"/>
                <w:szCs w:val="21"/>
              </w:rPr>
            </w:pPr>
            <w:r>
              <w:rPr>
                <w:rFonts w:hint="eastAsia" w:ascii="宋体"/>
                <w:szCs w:val="21"/>
              </w:rPr>
              <w:t>质量保证体系人员（质量保证工程师、质量控制系统责任人员）、技术人员、焊工、无损检测人员、其他人员（理化人员、的检验与试验人员）</w:t>
            </w:r>
          </w:p>
        </w:tc>
        <w:tc>
          <w:tcPr>
            <w:tcW w:w="3402" w:type="dxa"/>
            <w:vAlign w:val="center"/>
          </w:tcPr>
          <w:p>
            <w:pPr>
              <w:rPr>
                <w:rFonts w:ascii="宋体"/>
                <w:szCs w:val="21"/>
              </w:rPr>
            </w:pPr>
            <w:r>
              <w:rPr>
                <w:rFonts w:hint="eastAsia" w:ascii="宋体" w:hAnsi="宋体"/>
                <w:szCs w:val="21"/>
              </w:rPr>
              <w:t>劳动合同、身份证、资格证件、最高学历毕业证、职称证书、培训证明、单位养老保险缴纳证明（网上查询）</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3</w:t>
            </w:r>
          </w:p>
        </w:tc>
        <w:tc>
          <w:tcPr>
            <w:tcW w:w="1276" w:type="dxa"/>
            <w:tcBorders>
              <w:right w:val="single" w:color="auto" w:sz="4" w:space="0"/>
            </w:tcBorders>
            <w:vAlign w:val="center"/>
          </w:tcPr>
          <w:p>
            <w:pPr>
              <w:rPr>
                <w:rFonts w:ascii="宋体"/>
                <w:szCs w:val="21"/>
              </w:rPr>
            </w:pPr>
            <w:r>
              <w:rPr>
                <w:rFonts w:hint="eastAsia" w:ascii="宋体" w:hAnsi="宋体"/>
                <w:szCs w:val="21"/>
              </w:rPr>
              <w:t>工作场所</w:t>
            </w:r>
          </w:p>
        </w:tc>
        <w:tc>
          <w:tcPr>
            <w:tcW w:w="1984" w:type="dxa"/>
            <w:tcBorders>
              <w:left w:val="single" w:color="auto" w:sz="4" w:space="0"/>
            </w:tcBorders>
            <w:vAlign w:val="center"/>
          </w:tcPr>
          <w:p>
            <w:pPr>
              <w:rPr>
                <w:rFonts w:ascii="宋体"/>
                <w:szCs w:val="21"/>
              </w:rPr>
            </w:pPr>
            <w:r>
              <w:rPr>
                <w:rFonts w:hint="eastAsia" w:ascii="宋体" w:hAnsi="宋体"/>
                <w:szCs w:val="21"/>
              </w:rPr>
              <w:t>详见本文件1.1.3 工作场所</w:t>
            </w:r>
          </w:p>
        </w:tc>
        <w:tc>
          <w:tcPr>
            <w:tcW w:w="3402" w:type="dxa"/>
            <w:vAlign w:val="center"/>
          </w:tcPr>
          <w:p>
            <w:pPr>
              <w:rPr>
                <w:rFonts w:ascii="宋体"/>
                <w:szCs w:val="21"/>
              </w:rPr>
            </w:pPr>
            <w:r>
              <w:rPr>
                <w:rFonts w:hint="eastAsia" w:ascii="宋体" w:hAnsi="宋体"/>
                <w:szCs w:val="21"/>
              </w:rPr>
              <w:t>土地使用证、房屋产权证、租赁合同（或国有资产使用证明资料）等，当采用租赁时，租赁合同必须满足租赁期限覆盖申请许可证的有效期</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4</w:t>
            </w:r>
          </w:p>
        </w:tc>
        <w:tc>
          <w:tcPr>
            <w:tcW w:w="1276" w:type="dxa"/>
            <w:tcBorders>
              <w:right w:val="single" w:color="auto" w:sz="4" w:space="0"/>
            </w:tcBorders>
            <w:vAlign w:val="center"/>
          </w:tcPr>
          <w:p>
            <w:pPr>
              <w:rPr>
                <w:rFonts w:ascii="宋体"/>
                <w:szCs w:val="21"/>
              </w:rPr>
            </w:pPr>
            <w:r>
              <w:rPr>
                <w:rFonts w:hint="eastAsia" w:ascii="宋体"/>
                <w:szCs w:val="21"/>
              </w:rPr>
              <w:t>设备设施要求</w:t>
            </w:r>
          </w:p>
        </w:tc>
        <w:tc>
          <w:tcPr>
            <w:tcW w:w="1984" w:type="dxa"/>
            <w:tcBorders>
              <w:left w:val="single" w:color="auto" w:sz="4" w:space="0"/>
            </w:tcBorders>
            <w:vAlign w:val="center"/>
          </w:tcPr>
          <w:p>
            <w:pPr>
              <w:rPr>
                <w:rFonts w:ascii="宋体"/>
                <w:szCs w:val="21"/>
              </w:rPr>
            </w:pPr>
            <w:r>
              <w:rPr>
                <w:rFonts w:hint="eastAsia" w:ascii="宋体" w:hAnsi="宋体"/>
                <w:szCs w:val="21"/>
              </w:rPr>
              <w:t>详见本文件表1</w:t>
            </w:r>
          </w:p>
        </w:tc>
        <w:tc>
          <w:tcPr>
            <w:tcW w:w="3402" w:type="dxa"/>
            <w:vAlign w:val="center"/>
          </w:tcPr>
          <w:p>
            <w:pPr>
              <w:rPr>
                <w:rFonts w:ascii="宋体"/>
                <w:szCs w:val="21"/>
              </w:rPr>
            </w:pPr>
            <w:r>
              <w:rPr>
                <w:rFonts w:hint="eastAsia" w:ascii="宋体" w:hAnsi="宋体"/>
                <w:szCs w:val="21"/>
              </w:rPr>
              <w:t>设备设施台账、购买凭证（发票、付款凭证）、实物、每台设备设施档案资料</w:t>
            </w:r>
          </w:p>
        </w:tc>
        <w:tc>
          <w:tcPr>
            <w:tcW w:w="1043" w:type="dxa"/>
            <w:vAlign w:val="center"/>
          </w:tcPr>
          <w:p>
            <w:pPr>
              <w:jc w:val="center"/>
              <w:rPr>
                <w:rFonts w:ascii="宋体"/>
                <w:szCs w:val="21"/>
              </w:rPr>
            </w:pPr>
            <w:r>
              <w:rPr>
                <w:rFonts w:hint="eastAsia" w:ascii="宋体" w:hAnsi="宋体"/>
                <w:szCs w:val="21"/>
              </w:rPr>
              <w:t>现场查看核实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5</w:t>
            </w:r>
          </w:p>
        </w:tc>
        <w:tc>
          <w:tcPr>
            <w:tcW w:w="1276" w:type="dxa"/>
            <w:tcBorders>
              <w:right w:val="single" w:color="auto" w:sz="4" w:space="0"/>
            </w:tcBorders>
            <w:vAlign w:val="center"/>
          </w:tcPr>
          <w:p>
            <w:pPr>
              <w:rPr>
                <w:rFonts w:ascii="宋体"/>
                <w:szCs w:val="21"/>
              </w:rPr>
            </w:pPr>
            <w:r>
              <w:rPr>
                <w:rFonts w:hint="eastAsia" w:ascii="宋体" w:hAnsi="宋体"/>
                <w:szCs w:val="21"/>
              </w:rPr>
              <w:t>法规标准</w:t>
            </w:r>
          </w:p>
        </w:tc>
        <w:tc>
          <w:tcPr>
            <w:tcW w:w="1984" w:type="dxa"/>
            <w:tcBorders>
              <w:left w:val="single" w:color="auto" w:sz="4" w:space="0"/>
            </w:tcBorders>
            <w:vAlign w:val="center"/>
          </w:tcPr>
          <w:p>
            <w:pPr>
              <w:rPr>
                <w:rFonts w:ascii="宋体"/>
                <w:szCs w:val="21"/>
              </w:rPr>
            </w:pPr>
            <w:r>
              <w:rPr>
                <w:rFonts w:hint="eastAsia" w:ascii="宋体" w:hAnsi="宋体"/>
                <w:szCs w:val="21"/>
              </w:rPr>
              <w:t>详见本文件表2</w:t>
            </w:r>
          </w:p>
        </w:tc>
        <w:tc>
          <w:tcPr>
            <w:tcW w:w="3402" w:type="dxa"/>
            <w:vAlign w:val="center"/>
          </w:tcPr>
          <w:p>
            <w:pPr>
              <w:rPr>
                <w:rFonts w:ascii="宋体"/>
                <w:szCs w:val="21"/>
              </w:rPr>
            </w:pPr>
            <w:r>
              <w:rPr>
                <w:rFonts w:hint="eastAsia" w:ascii="宋体" w:hAnsi="宋体"/>
                <w:szCs w:val="21"/>
              </w:rPr>
              <w:t>提供法规标准目录清单、现场查看单位收集的法规标准是否为正版标准、是否为受控版本、是否对法规标准进行清理（作废标准须加盖作废文件章并单独存放）、是否有领用发放回收记录</w:t>
            </w:r>
          </w:p>
        </w:tc>
        <w:tc>
          <w:tcPr>
            <w:tcW w:w="1043" w:type="dxa"/>
            <w:vAlign w:val="center"/>
          </w:tcPr>
          <w:p>
            <w:pPr>
              <w:jc w:val="center"/>
              <w:rPr>
                <w:rFonts w:ascii="宋体"/>
                <w:szCs w:val="21"/>
              </w:rPr>
            </w:pPr>
            <w:r>
              <w:rPr>
                <w:rFonts w:hint="eastAsia" w:ascii="宋体" w:hAnsi="宋体"/>
                <w:szCs w:val="21"/>
              </w:rPr>
              <w:t>现场查看</w:t>
            </w:r>
          </w:p>
        </w:tc>
      </w:tr>
    </w:tbl>
    <w:p>
      <w:pPr>
        <w:spacing w:line="360" w:lineRule="auto"/>
        <w:rPr>
          <w:rFonts w:ascii="宋体" w:hAnsi="宋体"/>
          <w:sz w:val="24"/>
        </w:rPr>
      </w:pPr>
    </w:p>
    <w:p>
      <w:pPr>
        <w:tabs>
          <w:tab w:val="left" w:pos="2490"/>
        </w:tabs>
        <w:spacing w:line="480" w:lineRule="auto"/>
        <w:outlineLvl w:val="0"/>
        <w:rPr>
          <w:rFonts w:ascii="宋体" w:hAnsi="宋体" w:cs="黑体"/>
          <w:b/>
          <w:sz w:val="24"/>
        </w:rPr>
      </w:pPr>
      <w:r>
        <w:rPr>
          <w:rFonts w:hint="eastAsia" w:ascii="宋体" w:hAnsi="宋体" w:cs="黑体"/>
          <w:b/>
          <w:sz w:val="24"/>
        </w:rPr>
        <w:t>5.2质量保证体系的建立与实施方面</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3260"/>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817" w:type="dxa"/>
            <w:vAlign w:val="center"/>
          </w:tcPr>
          <w:p>
            <w:pPr>
              <w:jc w:val="center"/>
              <w:rPr>
                <w:rFonts w:ascii="宋体"/>
                <w:szCs w:val="21"/>
              </w:rPr>
            </w:pPr>
            <w:r>
              <w:rPr>
                <w:rFonts w:hint="eastAsia" w:ascii="宋体" w:hAnsi="宋体"/>
                <w:szCs w:val="21"/>
              </w:rPr>
              <w:t>序号</w:t>
            </w:r>
          </w:p>
        </w:tc>
        <w:tc>
          <w:tcPr>
            <w:tcW w:w="1276" w:type="dxa"/>
            <w:vAlign w:val="center"/>
          </w:tcPr>
          <w:p>
            <w:pPr>
              <w:jc w:val="center"/>
              <w:rPr>
                <w:rFonts w:ascii="宋体"/>
                <w:szCs w:val="21"/>
              </w:rPr>
            </w:pPr>
            <w:r>
              <w:rPr>
                <w:rFonts w:hint="eastAsia" w:ascii="宋体" w:hAnsi="宋体"/>
                <w:szCs w:val="21"/>
              </w:rPr>
              <w:t>评审项目</w:t>
            </w:r>
          </w:p>
        </w:tc>
        <w:tc>
          <w:tcPr>
            <w:tcW w:w="3260" w:type="dxa"/>
            <w:vAlign w:val="center"/>
          </w:tcPr>
          <w:p>
            <w:pPr>
              <w:jc w:val="center"/>
              <w:rPr>
                <w:rFonts w:ascii="宋体"/>
                <w:szCs w:val="21"/>
              </w:rPr>
            </w:pPr>
            <w:r>
              <w:rPr>
                <w:rFonts w:hint="eastAsia" w:ascii="宋体" w:hAnsi="宋体"/>
                <w:szCs w:val="21"/>
              </w:rPr>
              <w:t>评审内容与要求</w:t>
            </w:r>
          </w:p>
        </w:tc>
        <w:tc>
          <w:tcPr>
            <w:tcW w:w="3119" w:type="dxa"/>
            <w:vAlign w:val="center"/>
          </w:tcPr>
          <w:p>
            <w:pPr>
              <w:jc w:val="center"/>
              <w:rPr>
                <w:rFonts w:asci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5" w:hRule="atLeast"/>
        </w:trPr>
        <w:tc>
          <w:tcPr>
            <w:tcW w:w="817" w:type="dxa"/>
            <w:vAlign w:val="center"/>
          </w:tcPr>
          <w:p>
            <w:pPr>
              <w:jc w:val="center"/>
              <w:rPr>
                <w:rFonts w:ascii="宋体" w:hAnsi="宋体"/>
                <w:szCs w:val="21"/>
              </w:rPr>
            </w:pPr>
            <w:r>
              <w:rPr>
                <w:rFonts w:ascii="宋体" w:hAnsi="宋体"/>
                <w:szCs w:val="21"/>
              </w:rPr>
              <w:t>1</w:t>
            </w:r>
          </w:p>
        </w:tc>
        <w:tc>
          <w:tcPr>
            <w:tcW w:w="1276" w:type="dxa"/>
            <w:vAlign w:val="center"/>
          </w:tcPr>
          <w:p>
            <w:pPr>
              <w:rPr>
                <w:rFonts w:ascii="宋体"/>
                <w:szCs w:val="21"/>
              </w:rPr>
            </w:pPr>
            <w:r>
              <w:rPr>
                <w:rFonts w:hint="eastAsia" w:ascii="宋体" w:hAnsi="宋体"/>
                <w:szCs w:val="21"/>
              </w:rPr>
              <w:t>质量保证体系的要求</w:t>
            </w:r>
          </w:p>
        </w:tc>
        <w:tc>
          <w:tcPr>
            <w:tcW w:w="3260" w:type="dxa"/>
            <w:vAlign w:val="center"/>
          </w:tcPr>
          <w:p>
            <w:pPr>
              <w:rPr>
                <w:rFonts w:ascii="宋体"/>
                <w:szCs w:val="21"/>
              </w:rPr>
            </w:pPr>
            <w:r>
              <w:rPr>
                <w:rFonts w:ascii="宋体" w:hAnsi="宋体"/>
                <w:szCs w:val="21"/>
              </w:rPr>
              <w:t xml:space="preserve">   </w:t>
            </w:r>
            <w:r>
              <w:rPr>
                <w:rFonts w:hint="eastAsia" w:ascii="宋体" w:hAnsi="宋体"/>
                <w:szCs w:val="21"/>
              </w:rPr>
              <w:t>安装单位应当参照</w:t>
            </w:r>
            <w:r>
              <w:rPr>
                <w:rFonts w:ascii="宋体" w:hAnsi="宋体"/>
                <w:szCs w:val="21"/>
              </w:rPr>
              <w:t>TSG 07-2019</w:t>
            </w:r>
            <w:r>
              <w:rPr>
                <w:rFonts w:hint="eastAsia" w:ascii="宋体" w:hAnsi="宋体"/>
                <w:szCs w:val="21"/>
              </w:rPr>
              <w:t>《特种设备生产和充装单位许可规则》附件</w:t>
            </w:r>
            <w:r>
              <w:rPr>
                <w:rFonts w:ascii="宋体" w:hAnsi="宋体"/>
                <w:szCs w:val="21"/>
              </w:rPr>
              <w:t>M</w:t>
            </w:r>
            <w:r>
              <w:rPr>
                <w:rFonts w:hint="eastAsia" w:ascii="宋体" w:hAnsi="宋体"/>
                <w:szCs w:val="21"/>
              </w:rPr>
              <w:t>的要求，建立并且有效实施压力管道安装质量保证体系，编制质量保证手册、程序文件、压力管道安装作业指导书以及有关记录表、卡汇编等</w:t>
            </w:r>
          </w:p>
        </w:tc>
        <w:tc>
          <w:tcPr>
            <w:tcW w:w="3119" w:type="dxa"/>
            <w:vAlign w:val="center"/>
          </w:tcPr>
          <w:p>
            <w:pPr>
              <w:rPr>
                <w:rFonts w:ascii="宋体"/>
                <w:szCs w:val="21"/>
              </w:rPr>
            </w:pPr>
            <w:r>
              <w:rPr>
                <w:rFonts w:hint="eastAsia" w:ascii="宋体" w:hAnsi="宋体"/>
                <w:szCs w:val="21"/>
              </w:rPr>
              <w:t>质量保证手册、程序文件、压力管道安装作业指导书以及有关记录表、卡汇编等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2</w:t>
            </w:r>
          </w:p>
        </w:tc>
        <w:tc>
          <w:tcPr>
            <w:tcW w:w="1276" w:type="dxa"/>
            <w:vAlign w:val="center"/>
          </w:tcPr>
          <w:p>
            <w:pPr>
              <w:rPr>
                <w:rFonts w:ascii="宋体"/>
                <w:szCs w:val="21"/>
              </w:rPr>
            </w:pPr>
            <w:r>
              <w:rPr>
                <w:rFonts w:hint="eastAsia" w:ascii="宋体" w:hAnsi="宋体"/>
                <w:szCs w:val="21"/>
              </w:rPr>
              <w:t>程序文件</w:t>
            </w:r>
          </w:p>
        </w:tc>
        <w:tc>
          <w:tcPr>
            <w:tcW w:w="3260" w:type="dxa"/>
            <w:vAlign w:val="center"/>
          </w:tcPr>
          <w:p>
            <w:pPr>
              <w:rPr>
                <w:rFonts w:ascii="宋体"/>
                <w:szCs w:val="21"/>
              </w:rPr>
            </w:pPr>
            <w:r>
              <w:rPr>
                <w:rFonts w:hint="eastAsia" w:ascii="宋体" w:hAnsi="宋体"/>
                <w:szCs w:val="21"/>
              </w:rPr>
              <w:t>（</w:t>
            </w:r>
            <w:r>
              <w:rPr>
                <w:rFonts w:ascii="宋体" w:hAnsi="宋体"/>
                <w:szCs w:val="21"/>
              </w:rPr>
              <w:t>1</w:t>
            </w:r>
            <w:r>
              <w:rPr>
                <w:rFonts w:hint="eastAsia" w:ascii="宋体" w:hAnsi="宋体"/>
                <w:szCs w:val="21"/>
              </w:rPr>
              <w:t>）符合《许可规则》附件</w:t>
            </w:r>
            <w:r>
              <w:rPr>
                <w:rFonts w:ascii="宋体" w:hAnsi="宋体"/>
                <w:szCs w:val="21"/>
              </w:rPr>
              <w:t>M  M2</w:t>
            </w:r>
            <w:r>
              <w:rPr>
                <w:rFonts w:hint="eastAsia" w:ascii="宋体" w:hAnsi="宋体"/>
                <w:szCs w:val="21"/>
              </w:rPr>
              <w:t>的要求，应建立文件和记录控制、合同控制、设计控制、材料与零部件控制、作业（工艺）控制、焊接控制、热处理控制、无损检测控制、理化检验控制、检验与试验控制、生产设备和检验与试验装置控制、不合格品（项）控制、质量改进与服务、人员管理、执行特种设备许可制度等控制程序；</w:t>
            </w:r>
          </w:p>
          <w:p>
            <w:pPr>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）控制要素至少包括以下控制范围、程序、内容：</w:t>
            </w:r>
          </w:p>
          <w:p>
            <w:pPr>
              <w:rPr>
                <w:rFonts w:ascii="宋体" w:hAnsi="宋体"/>
                <w:szCs w:val="21"/>
              </w:rPr>
            </w:pPr>
            <w:r>
              <w:rPr>
                <w:rFonts w:hint="eastAsia" w:ascii="宋体" w:hAnsi="宋体"/>
                <w:szCs w:val="21"/>
              </w:rPr>
              <w:t>1)实施中的控制要求、过程记录、检验试验项目、检验试验记录和报告；</w:t>
            </w:r>
          </w:p>
          <w:p>
            <w:pPr>
              <w:rPr>
                <w:rFonts w:ascii="宋体"/>
                <w:szCs w:val="21"/>
              </w:rPr>
            </w:pPr>
            <w:r>
              <w:rPr>
                <w:rFonts w:hint="eastAsia" w:ascii="宋体" w:hAnsi="宋体"/>
                <w:szCs w:val="21"/>
              </w:rPr>
              <w:t>2)相关人员配备，职权和检查确认的工作见证。</w:t>
            </w:r>
          </w:p>
        </w:tc>
        <w:tc>
          <w:tcPr>
            <w:tcW w:w="3119" w:type="dxa"/>
            <w:vAlign w:val="center"/>
          </w:tcPr>
          <w:p>
            <w:pPr>
              <w:rPr>
                <w:rFonts w:ascii="宋体"/>
                <w:szCs w:val="21"/>
              </w:rPr>
            </w:pPr>
            <w:r>
              <w:rPr>
                <w:rFonts w:hint="eastAsia" w:ascii="宋体" w:hAnsi="宋体"/>
                <w:szCs w:val="21"/>
              </w:rPr>
              <w:t>程序文件、实施见证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3</w:t>
            </w:r>
          </w:p>
        </w:tc>
        <w:tc>
          <w:tcPr>
            <w:tcW w:w="1276" w:type="dxa"/>
            <w:vAlign w:val="center"/>
          </w:tcPr>
          <w:p>
            <w:pPr>
              <w:rPr>
                <w:rFonts w:ascii="宋体"/>
                <w:szCs w:val="21"/>
              </w:rPr>
            </w:pPr>
            <w:r>
              <w:rPr>
                <w:rFonts w:hint="eastAsia" w:ascii="宋体" w:hAnsi="宋体"/>
                <w:szCs w:val="21"/>
              </w:rPr>
              <w:t>压力管道安装作业指导书</w:t>
            </w:r>
          </w:p>
        </w:tc>
        <w:tc>
          <w:tcPr>
            <w:tcW w:w="3260" w:type="dxa"/>
            <w:vAlign w:val="center"/>
          </w:tcPr>
          <w:p>
            <w:pPr>
              <w:rPr>
                <w:rFonts w:ascii="宋体"/>
                <w:szCs w:val="21"/>
              </w:rPr>
            </w:pPr>
            <w:r>
              <w:rPr>
                <w:rFonts w:hint="eastAsia" w:ascii="宋体" w:hAnsi="宋体"/>
                <w:szCs w:val="21"/>
              </w:rPr>
              <w:t>作业指导书</w:t>
            </w:r>
            <w:r>
              <w:rPr>
                <w:rFonts w:hint="eastAsia" w:ascii="宋体"/>
                <w:szCs w:val="21"/>
              </w:rPr>
              <w:t>控制的范围、程序、内容如下：</w:t>
            </w:r>
          </w:p>
          <w:p>
            <w:pPr>
              <w:rPr>
                <w:rFonts w:ascii="宋体"/>
                <w:szCs w:val="21"/>
              </w:rPr>
            </w:pPr>
            <w:r>
              <w:rPr>
                <w:rFonts w:hint="eastAsia" w:ascii="宋体"/>
                <w:szCs w:val="21"/>
              </w:rPr>
              <w:t>（1）作业(工艺)文件的基本要求，包括通用或者专用工艺文件制定的条件和原则要求，工艺文件审批及工艺文件变更的要求等；</w:t>
            </w:r>
          </w:p>
          <w:p>
            <w:pPr>
              <w:rPr>
                <w:rFonts w:ascii="宋体"/>
                <w:szCs w:val="21"/>
              </w:rPr>
            </w:pPr>
            <w:r>
              <w:rPr>
                <w:rFonts w:hint="eastAsia" w:ascii="宋体"/>
                <w:szCs w:val="21"/>
              </w:rPr>
              <w:t>（2）作业(工艺)执行情况检查，包括检查时间、人员、项目、内容等；</w:t>
            </w:r>
          </w:p>
          <w:p>
            <w:pPr>
              <w:rPr>
                <w:rFonts w:ascii="宋体"/>
                <w:szCs w:val="21"/>
              </w:rPr>
            </w:pPr>
            <w:r>
              <w:rPr>
                <w:rFonts w:hint="eastAsia" w:ascii="宋体"/>
                <w:szCs w:val="21"/>
              </w:rPr>
              <w:t>（3）生产用工装、模具的管理，包括设计、制作及验收，建档、标识、保管、定期检验、维修及报废等。</w:t>
            </w:r>
          </w:p>
          <w:p>
            <w:pPr>
              <w:rPr>
                <w:rFonts w:ascii="宋体"/>
                <w:szCs w:val="21"/>
              </w:rPr>
            </w:pPr>
            <w:r>
              <w:rPr>
                <w:rFonts w:hint="eastAsia" w:ascii="宋体"/>
                <w:szCs w:val="21"/>
              </w:rPr>
              <w:t>（4）相应质量控制系统责任人员应当定期对作业(工艺)执行情况进行检查，作出记录。</w:t>
            </w:r>
          </w:p>
        </w:tc>
        <w:tc>
          <w:tcPr>
            <w:tcW w:w="3119" w:type="dxa"/>
            <w:vAlign w:val="center"/>
          </w:tcPr>
          <w:p>
            <w:pPr>
              <w:rPr>
                <w:rFonts w:ascii="宋体"/>
                <w:szCs w:val="21"/>
              </w:rPr>
            </w:pPr>
            <w:r>
              <w:rPr>
                <w:rFonts w:hint="eastAsia" w:ascii="宋体" w:hAnsi="宋体"/>
                <w:szCs w:val="21"/>
              </w:rPr>
              <w:t>单位制定的压力管道安装作业指导书，且必须覆盖单位所安装的所有级别压力管道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4</w:t>
            </w:r>
          </w:p>
        </w:tc>
        <w:tc>
          <w:tcPr>
            <w:tcW w:w="1276" w:type="dxa"/>
            <w:vAlign w:val="center"/>
          </w:tcPr>
          <w:p>
            <w:pPr>
              <w:rPr>
                <w:rFonts w:ascii="宋体"/>
                <w:szCs w:val="21"/>
              </w:rPr>
            </w:pPr>
            <w:r>
              <w:rPr>
                <w:rFonts w:hint="eastAsia" w:ascii="宋体" w:hAnsi="宋体"/>
                <w:szCs w:val="21"/>
              </w:rPr>
              <w:t>压力管道安装有关记录表、卡汇编</w:t>
            </w:r>
          </w:p>
        </w:tc>
        <w:tc>
          <w:tcPr>
            <w:tcW w:w="3260" w:type="dxa"/>
            <w:vAlign w:val="center"/>
          </w:tcPr>
          <w:p>
            <w:pPr>
              <w:rPr>
                <w:rFonts w:ascii="宋体"/>
                <w:szCs w:val="21"/>
              </w:rPr>
            </w:pPr>
            <w:r>
              <w:rPr>
                <w:rFonts w:hint="eastAsia" w:ascii="宋体" w:hAnsi="宋体"/>
                <w:szCs w:val="21"/>
              </w:rPr>
              <w:t>覆盖压力管道安装全过程，覆盖质量体系实施全过程</w:t>
            </w:r>
          </w:p>
        </w:tc>
        <w:tc>
          <w:tcPr>
            <w:tcW w:w="3119" w:type="dxa"/>
            <w:vAlign w:val="center"/>
          </w:tcPr>
          <w:p>
            <w:pPr>
              <w:rPr>
                <w:rFonts w:ascii="宋体"/>
                <w:szCs w:val="21"/>
              </w:rPr>
            </w:pPr>
            <w:r>
              <w:rPr>
                <w:rFonts w:hint="eastAsia" w:ascii="宋体" w:hAnsi="宋体"/>
                <w:szCs w:val="21"/>
              </w:rPr>
              <w:t>有关记录表、卡汇编</w:t>
            </w:r>
          </w:p>
        </w:tc>
      </w:tr>
    </w:tbl>
    <w:p>
      <w:pPr>
        <w:spacing w:line="360" w:lineRule="auto"/>
        <w:rPr>
          <w:rFonts w:ascii="宋体"/>
          <w:sz w:val="24"/>
        </w:rPr>
      </w:pPr>
    </w:p>
    <w:p>
      <w:pPr>
        <w:tabs>
          <w:tab w:val="left" w:pos="2490"/>
        </w:tabs>
        <w:spacing w:line="480" w:lineRule="auto"/>
        <w:outlineLvl w:val="0"/>
        <w:rPr>
          <w:rFonts w:ascii="宋体" w:hAnsi="宋体" w:cs="黑体"/>
          <w:b/>
          <w:sz w:val="24"/>
        </w:rPr>
      </w:pPr>
      <w:r>
        <w:rPr>
          <w:rFonts w:hint="eastAsia" w:ascii="宋体" w:hAnsi="宋体" w:cs="黑体"/>
          <w:b/>
          <w:sz w:val="24"/>
        </w:rPr>
        <w:t>5.3安装工程安全性能的保证能力</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843"/>
        <w:gridCol w:w="2693"/>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szCs w:val="21"/>
              </w:rPr>
            </w:pPr>
            <w:r>
              <w:rPr>
                <w:rFonts w:hint="eastAsia" w:ascii="宋体" w:hAnsi="宋体"/>
                <w:szCs w:val="21"/>
              </w:rPr>
              <w:t>序号</w:t>
            </w:r>
          </w:p>
        </w:tc>
        <w:tc>
          <w:tcPr>
            <w:tcW w:w="1843" w:type="dxa"/>
          </w:tcPr>
          <w:p>
            <w:pPr>
              <w:jc w:val="center"/>
              <w:rPr>
                <w:rFonts w:ascii="宋体"/>
                <w:szCs w:val="21"/>
              </w:rPr>
            </w:pPr>
            <w:r>
              <w:rPr>
                <w:rFonts w:hint="eastAsia" w:ascii="宋体" w:hAnsi="宋体"/>
                <w:szCs w:val="21"/>
              </w:rPr>
              <w:t>评审项目</w:t>
            </w:r>
          </w:p>
        </w:tc>
        <w:tc>
          <w:tcPr>
            <w:tcW w:w="2693" w:type="dxa"/>
            <w:vAlign w:val="center"/>
          </w:tcPr>
          <w:p>
            <w:pPr>
              <w:jc w:val="center"/>
              <w:rPr>
                <w:rFonts w:ascii="宋体"/>
                <w:szCs w:val="21"/>
              </w:rPr>
            </w:pPr>
            <w:r>
              <w:rPr>
                <w:rFonts w:hint="eastAsia" w:ascii="宋体" w:hAnsi="宋体"/>
                <w:szCs w:val="21"/>
              </w:rPr>
              <w:t>评审内容与要求</w:t>
            </w:r>
          </w:p>
        </w:tc>
        <w:tc>
          <w:tcPr>
            <w:tcW w:w="3119" w:type="dxa"/>
            <w:vAlign w:val="center"/>
          </w:tcPr>
          <w:p>
            <w:pPr>
              <w:jc w:val="center"/>
              <w:rPr>
                <w:rFonts w:asci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hAnsi="宋体"/>
                <w:szCs w:val="21"/>
              </w:rPr>
            </w:pPr>
            <w:r>
              <w:rPr>
                <w:rFonts w:ascii="宋体" w:hAnsi="宋体"/>
                <w:szCs w:val="21"/>
              </w:rPr>
              <w:t>1</w:t>
            </w:r>
          </w:p>
        </w:tc>
        <w:tc>
          <w:tcPr>
            <w:tcW w:w="1843" w:type="dxa"/>
            <w:vAlign w:val="center"/>
          </w:tcPr>
          <w:p>
            <w:pPr>
              <w:rPr>
                <w:rFonts w:ascii="宋体"/>
                <w:szCs w:val="21"/>
              </w:rPr>
            </w:pPr>
            <w:r>
              <w:rPr>
                <w:rFonts w:hint="eastAsia" w:ascii="宋体" w:hAnsi="宋体"/>
                <w:szCs w:val="21"/>
              </w:rPr>
              <w:t>取证单位：试安装工程</w:t>
            </w:r>
          </w:p>
        </w:tc>
        <w:tc>
          <w:tcPr>
            <w:tcW w:w="2693" w:type="dxa"/>
            <w:vAlign w:val="center"/>
          </w:tcPr>
          <w:p>
            <w:pPr>
              <w:rPr>
                <w:rFonts w:ascii="宋体"/>
                <w:szCs w:val="21"/>
              </w:rPr>
            </w:pPr>
            <w:r>
              <w:rPr>
                <w:rFonts w:hint="eastAsia" w:ascii="宋体" w:hAnsi="宋体"/>
                <w:szCs w:val="21"/>
              </w:rPr>
              <w:t>所申请最高级别的试安装工程1项</w:t>
            </w:r>
          </w:p>
        </w:tc>
        <w:tc>
          <w:tcPr>
            <w:tcW w:w="3119" w:type="dxa"/>
            <w:vAlign w:val="center"/>
          </w:tcPr>
          <w:p>
            <w:pPr>
              <w:rPr>
                <w:rFonts w:ascii="宋体"/>
                <w:szCs w:val="21"/>
              </w:rPr>
            </w:pPr>
            <w:r>
              <w:rPr>
                <w:rFonts w:hint="eastAsia" w:ascii="宋体"/>
                <w:szCs w:val="21"/>
              </w:rPr>
              <w:t>试安装工程全套竣工资料、压力管道试安装现场1个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hAnsi="宋体"/>
                <w:szCs w:val="21"/>
              </w:rPr>
            </w:pPr>
            <w:r>
              <w:rPr>
                <w:rFonts w:ascii="宋体" w:hAnsi="宋体"/>
                <w:szCs w:val="21"/>
              </w:rPr>
              <w:t>2</w:t>
            </w:r>
          </w:p>
        </w:tc>
        <w:tc>
          <w:tcPr>
            <w:tcW w:w="1843" w:type="dxa"/>
            <w:vAlign w:val="center"/>
          </w:tcPr>
          <w:p>
            <w:pPr>
              <w:rPr>
                <w:rFonts w:ascii="宋体"/>
                <w:szCs w:val="21"/>
              </w:rPr>
            </w:pPr>
            <w:r>
              <w:rPr>
                <w:rFonts w:hint="eastAsia" w:ascii="宋体" w:hAnsi="宋体"/>
                <w:szCs w:val="21"/>
              </w:rPr>
              <w:t>换证单位：换证业绩</w:t>
            </w:r>
          </w:p>
        </w:tc>
        <w:tc>
          <w:tcPr>
            <w:tcW w:w="2693" w:type="dxa"/>
            <w:vAlign w:val="center"/>
          </w:tcPr>
          <w:p>
            <w:pPr>
              <w:rPr>
                <w:rFonts w:ascii="宋体"/>
                <w:szCs w:val="21"/>
              </w:rPr>
            </w:pPr>
            <w:r>
              <w:rPr>
                <w:rFonts w:hint="eastAsia" w:ascii="宋体" w:hAnsi="宋体"/>
                <w:szCs w:val="21"/>
              </w:rPr>
              <w:t>安装单位换证时，应当在许可周期内具有相应许可最高级别的安装业绩至少1项</w:t>
            </w:r>
          </w:p>
        </w:tc>
        <w:tc>
          <w:tcPr>
            <w:tcW w:w="3119" w:type="dxa"/>
            <w:vAlign w:val="center"/>
          </w:tcPr>
          <w:p>
            <w:pPr>
              <w:rPr>
                <w:rFonts w:ascii="宋体"/>
                <w:szCs w:val="21"/>
              </w:rPr>
            </w:pPr>
            <w:r>
              <w:rPr>
                <w:rFonts w:hint="eastAsia" w:ascii="宋体" w:hAnsi="宋体"/>
                <w:szCs w:val="21"/>
              </w:rPr>
              <w:t>四年有效期内的安装业绩台账；四年有效期内所有压力管道安装的竣工资料</w:t>
            </w:r>
          </w:p>
        </w:tc>
      </w:tr>
    </w:tbl>
    <w:p>
      <w:pPr>
        <w:spacing w:line="360" w:lineRule="auto"/>
        <w:rPr>
          <w:rFonts w:ascii="宋体"/>
          <w:sz w:val="24"/>
        </w:rPr>
      </w:pPr>
    </w:p>
    <w:p>
      <w:pPr>
        <w:tabs>
          <w:tab w:val="left" w:pos="2490"/>
        </w:tabs>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rPr>
          <w:sz w:val="24"/>
        </w:rPr>
      </w:pPr>
      <w:r>
        <w:rPr>
          <w:sz w:val="24"/>
        </w:rPr>
        <w:t xml:space="preserve">    </w:t>
      </w:r>
      <w:r>
        <w:rPr>
          <w:rFonts w:hint="eastAsia"/>
          <w:sz w:val="24"/>
        </w:rPr>
        <w:t>申请单位在接到鉴定评审机构的《特种设备鉴定评审通知函》后，应立即与评审组长取得联系，并向评审组提交如下见证材料，材料必须是原件的复印件或扫描件且逐页加盖公章装订成册：</w:t>
      </w:r>
    </w:p>
    <w:p>
      <w:pPr>
        <w:spacing w:line="500" w:lineRule="exact"/>
        <w:rPr>
          <w:sz w:val="24"/>
        </w:rPr>
      </w:pPr>
      <w:r>
        <w:rPr>
          <w:rFonts w:hint="eastAsia"/>
          <w:sz w:val="24"/>
        </w:rPr>
        <w:t>（</w:t>
      </w:r>
      <w:r>
        <w:rPr>
          <w:sz w:val="24"/>
        </w:rPr>
        <w:t>1</w:t>
      </w:r>
      <w:r>
        <w:rPr>
          <w:rFonts w:hint="eastAsia"/>
          <w:sz w:val="24"/>
        </w:rPr>
        <w:t>）社会统一信用代码证（营业执照）或法人证书。</w:t>
      </w:r>
    </w:p>
    <w:p>
      <w:pPr>
        <w:spacing w:line="500" w:lineRule="exact"/>
        <w:ind w:left="2626" w:hanging="2625" w:hangingChars="1094"/>
        <w:jc w:val="left"/>
        <w:rPr>
          <w:rFonts w:cs="宋体"/>
          <w:sz w:val="24"/>
        </w:rPr>
      </w:pPr>
      <w:r>
        <w:rPr>
          <w:rFonts w:hint="eastAsia" w:cs="宋体"/>
          <w:sz w:val="24"/>
        </w:rPr>
        <w:t>（</w:t>
      </w:r>
      <w:r>
        <w:rPr>
          <w:rFonts w:cs="宋体"/>
          <w:sz w:val="24"/>
        </w:rPr>
        <w:t>2</w:t>
      </w:r>
      <w:r>
        <w:rPr>
          <w:rFonts w:hint="eastAsia" w:cs="宋体"/>
          <w:sz w:val="24"/>
        </w:rPr>
        <w:t>）原压力管道安装许可证书（换证单位需要）。</w:t>
      </w:r>
    </w:p>
    <w:p>
      <w:pPr>
        <w:spacing w:line="500" w:lineRule="exact"/>
        <w:ind w:left="2626" w:hanging="2625" w:hangingChars="1094"/>
        <w:jc w:val="left"/>
        <w:rPr>
          <w:rFonts w:cs="宋体"/>
          <w:sz w:val="24"/>
        </w:rPr>
      </w:pPr>
      <w:r>
        <w:rPr>
          <w:rFonts w:hint="eastAsia" w:cs="宋体"/>
          <w:sz w:val="24"/>
        </w:rPr>
        <w:t>（</w:t>
      </w:r>
      <w:r>
        <w:rPr>
          <w:rFonts w:cs="宋体"/>
          <w:sz w:val="24"/>
        </w:rPr>
        <w:t>3</w:t>
      </w:r>
      <w:r>
        <w:rPr>
          <w:rFonts w:hint="eastAsia" w:cs="宋体"/>
          <w:sz w:val="24"/>
        </w:rPr>
        <w:t>）特种设备行政许可受理决定书。</w:t>
      </w:r>
    </w:p>
    <w:p>
      <w:pPr>
        <w:spacing w:line="500" w:lineRule="exact"/>
        <w:rPr>
          <w:sz w:val="24"/>
        </w:rPr>
      </w:pPr>
      <w:r>
        <w:rPr>
          <w:rFonts w:hint="eastAsia" w:cs="宋体"/>
          <w:sz w:val="24"/>
        </w:rPr>
        <w:t>（</w:t>
      </w:r>
      <w:r>
        <w:rPr>
          <w:rFonts w:cs="宋体"/>
          <w:sz w:val="24"/>
        </w:rPr>
        <w:t>4</w:t>
      </w:r>
      <w:r>
        <w:rPr>
          <w:rFonts w:hint="eastAsia" w:cs="宋体"/>
          <w:sz w:val="24"/>
        </w:rPr>
        <w:t>）工作</w:t>
      </w:r>
      <w:r>
        <w:rPr>
          <w:rFonts w:hint="eastAsia"/>
          <w:sz w:val="24"/>
        </w:rPr>
        <w:t>场所证明（自有产权的包括土地使用证、房屋产权证；租赁的包括租赁合同及土地使用证、房屋产权证复印件）。</w:t>
      </w:r>
    </w:p>
    <w:p>
      <w:pPr>
        <w:spacing w:line="500" w:lineRule="exact"/>
        <w:ind w:left="2626" w:hanging="2625" w:hangingChars="1094"/>
        <w:jc w:val="left"/>
        <w:rPr>
          <w:rFonts w:cs="宋体"/>
          <w:sz w:val="24"/>
        </w:rPr>
      </w:pPr>
      <w:r>
        <w:rPr>
          <w:rFonts w:hint="eastAsia"/>
          <w:sz w:val="24"/>
        </w:rPr>
        <w:t>（</w:t>
      </w:r>
      <w:r>
        <w:rPr>
          <w:sz w:val="24"/>
        </w:rPr>
        <w:t>5</w:t>
      </w:r>
      <w:r>
        <w:rPr>
          <w:rFonts w:hint="eastAsia"/>
          <w:sz w:val="24"/>
        </w:rPr>
        <w:t>）</w:t>
      </w:r>
      <w:r>
        <w:rPr>
          <w:rFonts w:hint="eastAsia" w:cs="宋体"/>
          <w:sz w:val="24"/>
        </w:rPr>
        <w:t>人员资料：</w:t>
      </w:r>
    </w:p>
    <w:p>
      <w:pPr>
        <w:spacing w:line="500" w:lineRule="exact"/>
        <w:ind w:hanging="5"/>
        <w:jc w:val="left"/>
        <w:rPr>
          <w:rFonts w:cs="宋体"/>
          <w:sz w:val="24"/>
        </w:rPr>
      </w:pPr>
      <w:r>
        <w:rPr>
          <w:rFonts w:cs="宋体"/>
          <w:sz w:val="24"/>
        </w:rPr>
        <w:t xml:space="preserve">    a.</w:t>
      </w:r>
      <w:r>
        <w:rPr>
          <w:rFonts w:hint="eastAsia"/>
          <w:sz w:val="24"/>
        </w:rPr>
        <w:t>压力管道安装人员一览表（姓名、性别、身份证号、学历、职称、毕业时间、毕业院校及专业、工作岗位、证书编号包括职称证书和资格证书）；</w:t>
      </w:r>
    </w:p>
    <w:p>
      <w:pPr>
        <w:spacing w:line="500" w:lineRule="exact"/>
        <w:ind w:left="2626" w:hanging="2625" w:hangingChars="1094"/>
        <w:jc w:val="left"/>
        <w:rPr>
          <w:sz w:val="24"/>
        </w:rPr>
      </w:pPr>
      <w:r>
        <w:rPr>
          <w:rFonts w:cs="宋体"/>
          <w:sz w:val="24"/>
        </w:rPr>
        <w:t xml:space="preserve">    b.</w:t>
      </w:r>
      <w:r>
        <w:rPr>
          <w:sz w:val="24"/>
        </w:rPr>
        <w:t xml:space="preserve"> </w:t>
      </w:r>
      <w:r>
        <w:rPr>
          <w:rFonts w:hint="eastAsia"/>
          <w:sz w:val="24"/>
        </w:rPr>
        <w:t>质量体系责任人员的劳动合同；</w:t>
      </w:r>
    </w:p>
    <w:p>
      <w:pPr>
        <w:spacing w:line="500" w:lineRule="exact"/>
        <w:ind w:left="2626" w:hanging="2625" w:hangingChars="1094"/>
        <w:jc w:val="left"/>
        <w:rPr>
          <w:rFonts w:cs="宋体"/>
          <w:sz w:val="24"/>
        </w:rPr>
      </w:pPr>
      <w:r>
        <w:rPr>
          <w:sz w:val="24"/>
        </w:rPr>
        <w:t xml:space="preserve">    c. </w:t>
      </w:r>
      <w:r>
        <w:rPr>
          <w:rFonts w:hint="eastAsia"/>
          <w:sz w:val="24"/>
        </w:rPr>
        <w:t>压力管道安装责任人员任命文件</w:t>
      </w:r>
      <w:r>
        <w:rPr>
          <w:rFonts w:hint="eastAsia" w:cs="宋体"/>
          <w:sz w:val="24"/>
        </w:rPr>
        <w:t>；</w:t>
      </w:r>
    </w:p>
    <w:p>
      <w:pPr>
        <w:spacing w:line="500" w:lineRule="exact"/>
        <w:ind w:hanging="5"/>
        <w:jc w:val="left"/>
        <w:rPr>
          <w:sz w:val="24"/>
        </w:rPr>
      </w:pPr>
      <w:r>
        <w:rPr>
          <w:rFonts w:cs="宋体"/>
          <w:sz w:val="24"/>
        </w:rPr>
        <w:t xml:space="preserve">    d.</w:t>
      </w:r>
      <w:r>
        <w:rPr>
          <w:sz w:val="24"/>
        </w:rPr>
        <w:t xml:space="preserve"> </w:t>
      </w:r>
      <w:r>
        <w:rPr>
          <w:rFonts w:hint="eastAsia"/>
          <w:sz w:val="24"/>
        </w:rPr>
        <w:t>质量体系各岗位责任人员的职称证书、无损检测人员资格证书及注册证书等；</w:t>
      </w:r>
    </w:p>
    <w:p>
      <w:pPr>
        <w:spacing w:line="500" w:lineRule="exact"/>
        <w:ind w:left="2626" w:hanging="2625" w:hangingChars="1094"/>
        <w:jc w:val="left"/>
        <w:rPr>
          <w:sz w:val="24"/>
        </w:rPr>
      </w:pPr>
      <w:r>
        <w:rPr>
          <w:sz w:val="24"/>
        </w:rPr>
        <w:t xml:space="preserve">    e. </w:t>
      </w:r>
      <w:r>
        <w:rPr>
          <w:rFonts w:hint="eastAsia"/>
          <w:sz w:val="24"/>
        </w:rPr>
        <w:t>质量体系责任人员社保缴纳证明（近三个月）。</w:t>
      </w:r>
    </w:p>
    <w:p>
      <w:pPr>
        <w:spacing w:line="500" w:lineRule="exact"/>
        <w:ind w:left="2626" w:hanging="2625" w:hangingChars="1094"/>
        <w:jc w:val="left"/>
        <w:rPr>
          <w:rFonts w:cs="宋体"/>
          <w:sz w:val="24"/>
        </w:rPr>
      </w:pPr>
      <w:r>
        <w:rPr>
          <w:rFonts w:hint="eastAsia" w:cs="宋体"/>
          <w:sz w:val="24"/>
        </w:rPr>
        <w:t>（</w:t>
      </w:r>
      <w:r>
        <w:rPr>
          <w:rFonts w:cs="宋体"/>
          <w:sz w:val="24"/>
        </w:rPr>
        <w:t>6</w:t>
      </w:r>
      <w:r>
        <w:rPr>
          <w:rFonts w:hint="eastAsia" w:cs="宋体"/>
          <w:sz w:val="24"/>
        </w:rPr>
        <w:t>）设备设施</w:t>
      </w:r>
      <w:r>
        <w:rPr>
          <w:rFonts w:hint="eastAsia"/>
          <w:sz w:val="24"/>
        </w:rPr>
        <w:t>一览表（包括设备名称、规格型号、数量）。</w:t>
      </w:r>
    </w:p>
    <w:p>
      <w:pPr>
        <w:spacing w:line="500" w:lineRule="exact"/>
        <w:ind w:left="2626" w:hanging="2625" w:hangingChars="1094"/>
        <w:jc w:val="left"/>
        <w:rPr>
          <w:sz w:val="24"/>
        </w:rPr>
      </w:pPr>
      <w:r>
        <w:rPr>
          <w:rFonts w:hint="eastAsia" w:cs="宋体"/>
          <w:sz w:val="24"/>
        </w:rPr>
        <w:t>（</w:t>
      </w:r>
      <w:r>
        <w:rPr>
          <w:rFonts w:cs="宋体"/>
          <w:sz w:val="24"/>
        </w:rPr>
        <w:t>7</w:t>
      </w:r>
      <w:r>
        <w:rPr>
          <w:rFonts w:hint="eastAsia" w:cs="宋体"/>
          <w:sz w:val="24"/>
        </w:rPr>
        <w:t>）当安装的理化检验、无损检测、热处理工作外委时，外委协议。</w:t>
      </w:r>
    </w:p>
    <w:p>
      <w:pPr>
        <w:spacing w:line="500" w:lineRule="exact"/>
        <w:ind w:left="2626" w:hanging="2625" w:hangingChars="1094"/>
        <w:jc w:val="left"/>
        <w:rPr>
          <w:sz w:val="24"/>
        </w:rPr>
      </w:pPr>
      <w:r>
        <w:rPr>
          <w:rFonts w:hint="eastAsia"/>
          <w:sz w:val="24"/>
        </w:rPr>
        <w:t>（</w:t>
      </w:r>
      <w:r>
        <w:rPr>
          <w:sz w:val="24"/>
        </w:rPr>
        <w:t>8</w:t>
      </w:r>
      <w:r>
        <w:rPr>
          <w:rFonts w:hint="eastAsia"/>
          <w:sz w:val="24"/>
        </w:rPr>
        <w:t>）本单位收集的法律、法规、标准、规章、安全技术规范及相关标准目录。</w:t>
      </w:r>
    </w:p>
    <w:p>
      <w:pPr>
        <w:spacing w:line="500" w:lineRule="exact"/>
        <w:ind w:left="2626" w:hanging="2625" w:hangingChars="1094"/>
        <w:jc w:val="left"/>
        <w:rPr>
          <w:sz w:val="24"/>
        </w:rPr>
      </w:pPr>
      <w:r>
        <w:rPr>
          <w:rFonts w:hint="eastAsia" w:cs="宋体"/>
          <w:sz w:val="24"/>
        </w:rPr>
        <w:t>（</w:t>
      </w:r>
      <w:r>
        <w:rPr>
          <w:rFonts w:cs="宋体"/>
          <w:sz w:val="24"/>
        </w:rPr>
        <w:t>9</w:t>
      </w:r>
      <w:r>
        <w:rPr>
          <w:rFonts w:hint="eastAsia" w:cs="宋体"/>
          <w:sz w:val="24"/>
        </w:rPr>
        <w:t>）安装</w:t>
      </w:r>
      <w:r>
        <w:rPr>
          <w:rFonts w:hint="eastAsia"/>
          <w:sz w:val="24"/>
        </w:rPr>
        <w:t>许可有效期内压力管道安装业绩台帐。</w:t>
      </w:r>
    </w:p>
    <w:p>
      <w:pPr>
        <w:spacing w:line="500" w:lineRule="exact"/>
        <w:ind w:firstLine="240" w:firstLineChars="100"/>
        <w:jc w:val="left"/>
        <w:rPr>
          <w:rFonts w:ascii="宋体" w:hAnsi="宋体" w:cs="黑体"/>
          <w:b/>
          <w:sz w:val="24"/>
        </w:rPr>
      </w:pPr>
      <w:r>
        <w:rPr>
          <w:rFonts w:hint="eastAsia"/>
          <w:sz w:val="24"/>
        </w:rPr>
        <w:t>（</w:t>
      </w:r>
      <w:r>
        <w:rPr>
          <w:sz w:val="24"/>
        </w:rPr>
        <w:t>10</w:t>
      </w:r>
      <w:r>
        <w:rPr>
          <w:rFonts w:hint="eastAsia"/>
          <w:sz w:val="24"/>
        </w:rPr>
        <w:t>）质量保证手册，程序文件、作业指导书、记录表、卡目录。</w:t>
      </w:r>
    </w:p>
    <w:sectPr>
      <w:footerReference r:id="rId7"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line id="_x0000_s1041" o:spid="_x0000_s1041" o:spt="20" style="position:absolute;left:0pt;margin-left:0pt;margin-top:11.9pt;height:0pt;width:459pt;z-index:251660288;mso-width-relative:page;mso-height-relative:page;" coordsize="21600,21600">
          <v:path arrowok="t"/>
          <v:fill focussize="0,0"/>
          <v:stroke/>
          <v:imagedata o:title=""/>
          <o:lock v:ext="edit"/>
        </v:line>
      </w:pict>
    </w:r>
  </w:p>
  <w:p>
    <w:pPr>
      <w:pStyle w:val="14"/>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line id="_x0000_s1045" o:spid="_x0000_s1045" o:spt="20" style="position:absolute;left:0pt;margin-left:0pt;margin-top:11.9pt;height:0pt;width:459pt;z-index:251661312;mso-width-relative:page;mso-height-relative:page;" coordsize="21600,21600">
          <v:path arrowok="t"/>
          <v:fill focussize="0,0"/>
          <v:stroke/>
          <v:imagedata o:title=""/>
          <o:lock v:ext="edit"/>
        </v:line>
      </w:pict>
    </w:r>
  </w:p>
  <w:p>
    <w:pPr>
      <w:pStyle w:val="14"/>
      <w:rPr>
        <w:rFonts w:ascii="宋体" w:hAnsi="宋体"/>
        <w:u w:val="single"/>
      </w:rPr>
    </w:pPr>
    <w:r>
      <w:pict>
        <v:shape id="_x0000_s1046" o:spid="_x0000_s1046" o:spt="202" type="#_x0000_t202" style="position:absolute;left:0pt;margin-left:216.45pt;margin-top:1pt;height:12pt;width:37pt;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4"/>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5pt;margin-top:23.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XTXPS/ZN-GDA-2022                                 </w:t>
    </w:r>
    <w:r>
      <w:rPr>
        <w:rFonts w:ascii="华文行楷" w:eastAsia="华文行楷"/>
        <w:sz w:val="21"/>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2"/>
        <w:rFonts w:hint="eastAsia" w:hAnsi="宋体" w:cs="宋体"/>
        <w:bCs/>
        <w:sz w:val="18"/>
        <w:szCs w:val="18"/>
      </w:rPr>
      <w:t>专用指南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67BF0"/>
    <w:multiLevelType w:val="singleLevel"/>
    <w:tmpl w:val="0B067B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30E"/>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64F7"/>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2CA"/>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2BC9"/>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A70D6"/>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6C7468"/>
    <w:rsid w:val="017839B4"/>
    <w:rsid w:val="018F4F84"/>
    <w:rsid w:val="01B647F2"/>
    <w:rsid w:val="01D31DFC"/>
    <w:rsid w:val="01E445CE"/>
    <w:rsid w:val="01F45076"/>
    <w:rsid w:val="01F91A6E"/>
    <w:rsid w:val="020725C5"/>
    <w:rsid w:val="022910C8"/>
    <w:rsid w:val="02322BAC"/>
    <w:rsid w:val="02454D54"/>
    <w:rsid w:val="028415F1"/>
    <w:rsid w:val="028A1474"/>
    <w:rsid w:val="029C3B52"/>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0F1502"/>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36BC4"/>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6D3271"/>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A8201A"/>
    <w:rsid w:val="58D009A0"/>
    <w:rsid w:val="58E51E0F"/>
    <w:rsid w:val="59104DB1"/>
    <w:rsid w:val="593E6411"/>
    <w:rsid w:val="595B535C"/>
    <w:rsid w:val="596C3ECC"/>
    <w:rsid w:val="59C10FE9"/>
    <w:rsid w:val="59DA6F56"/>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1D6342"/>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61676"/>
    <w:rsid w:val="63BB0311"/>
    <w:rsid w:val="63BB3ADE"/>
    <w:rsid w:val="63D20EE9"/>
    <w:rsid w:val="63E922F9"/>
    <w:rsid w:val="63ED38B5"/>
    <w:rsid w:val="63F14DD0"/>
    <w:rsid w:val="640A4BF9"/>
    <w:rsid w:val="640C4CBB"/>
    <w:rsid w:val="644071A4"/>
    <w:rsid w:val="6453273B"/>
    <w:rsid w:val="6463410B"/>
    <w:rsid w:val="646D3F62"/>
    <w:rsid w:val="64701233"/>
    <w:rsid w:val="64A0298E"/>
    <w:rsid w:val="64A422EC"/>
    <w:rsid w:val="64B1189B"/>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46E7B"/>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CF6158"/>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27A59"/>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5F5EDD"/>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28"/>
    <w:qFormat/>
    <w:uiPriority w:val="0"/>
    <w:pPr>
      <w:spacing w:after="120"/>
      <w:ind w:left="420" w:leftChars="200"/>
    </w:pPr>
    <w:rPr>
      <w:sz w:val="16"/>
      <w:szCs w:val="16"/>
    </w:rPr>
  </w:style>
  <w:style w:type="paragraph" w:styleId="4">
    <w:name w:val="Document Map"/>
    <w:basedOn w:val="1"/>
    <w:link w:val="33"/>
    <w:qFormat/>
    <w:uiPriority w:val="0"/>
    <w:rPr>
      <w:rFonts w:ascii="宋体"/>
      <w:sz w:val="18"/>
      <w:szCs w:val="18"/>
    </w:rPr>
  </w:style>
  <w:style w:type="paragraph" w:styleId="5">
    <w:name w:val="annotation text"/>
    <w:basedOn w:val="1"/>
    <w:qFormat/>
    <w:uiPriority w:val="0"/>
    <w:pPr>
      <w:jc w:val="left"/>
    </w:pPr>
  </w:style>
  <w:style w:type="paragraph" w:styleId="6">
    <w:name w:val="Body Text"/>
    <w:basedOn w:val="1"/>
    <w:qFormat/>
    <w:uiPriority w:val="0"/>
    <w:pPr>
      <w:spacing w:line="360" w:lineRule="auto"/>
    </w:pPr>
    <w:rPr>
      <w:rFonts w:ascii="宋体" w:hAnsi="宋体"/>
      <w:sz w:val="24"/>
    </w:rPr>
  </w:style>
  <w:style w:type="paragraph" w:styleId="7">
    <w:name w:val="Body Text Indent"/>
    <w:basedOn w:val="1"/>
    <w:qFormat/>
    <w:uiPriority w:val="0"/>
    <w:pPr>
      <w:spacing w:line="360" w:lineRule="auto"/>
      <w:ind w:firstLine="420" w:firstLineChars="200"/>
    </w:pPr>
    <w:rPr>
      <w:rFonts w:ascii="宋体" w:hAnsi="宋体"/>
    </w:rPr>
  </w:style>
  <w:style w:type="paragraph" w:styleId="8">
    <w:name w:val="Block Text"/>
    <w:basedOn w:val="1"/>
    <w:next w:val="9"/>
    <w:unhideWhenUsed/>
    <w:qFormat/>
    <w:uiPriority w:val="99"/>
    <w:rPr>
      <w:rFonts w:hint="eastAsia" w:ascii="Calibri" w:hAnsi="Calibri"/>
      <w:sz w:val="30"/>
    </w:rPr>
  </w:style>
  <w:style w:type="paragraph" w:styleId="9">
    <w:name w:val="Title"/>
    <w:basedOn w:val="1"/>
    <w:next w:val="1"/>
    <w:qFormat/>
    <w:uiPriority w:val="10"/>
    <w:rPr>
      <w:rFonts w:hint="eastAsia" w:ascii="Arial" w:hAnsi="Arial"/>
      <w:b/>
      <w:sz w:val="24"/>
    </w:rPr>
  </w:style>
  <w:style w:type="paragraph" w:styleId="10">
    <w:name w:val="Plain Text"/>
    <w:basedOn w:val="1"/>
    <w:link w:val="27"/>
    <w:qFormat/>
    <w:uiPriority w:val="0"/>
    <w:rPr>
      <w:rFonts w:ascii="宋体" w:hAnsi="Courier New" w:cs="Courier New"/>
      <w:szCs w:val="21"/>
    </w:rPr>
  </w:style>
  <w:style w:type="paragraph" w:styleId="11">
    <w:name w:val="Date"/>
    <w:basedOn w:val="1"/>
    <w:next w:val="1"/>
    <w:qFormat/>
    <w:uiPriority w:val="0"/>
    <w:pPr>
      <w:ind w:left="100" w:leftChars="2500"/>
    </w:pPr>
    <w:rPr>
      <w:rFonts w:ascii="宋体" w:hAnsi="宋体"/>
      <w:color w:val="FF6600"/>
      <w:kern w:val="0"/>
      <w:sz w:val="24"/>
    </w:rPr>
  </w:style>
  <w:style w:type="paragraph" w:styleId="12">
    <w:name w:val="Body Text Indent 2"/>
    <w:basedOn w:val="1"/>
    <w:link w:val="26"/>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5"/>
    <w:next w:val="5"/>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99"/>
    <w:rPr>
      <w:b/>
      <w:bCs/>
    </w:rPr>
  </w:style>
  <w:style w:type="character" w:styleId="22">
    <w:name w:val="page number"/>
    <w:basedOn w:val="20"/>
    <w:qFormat/>
    <w:uiPriority w:val="0"/>
  </w:style>
  <w:style w:type="character" w:styleId="23">
    <w:name w:val="Emphasis"/>
    <w:basedOn w:val="20"/>
    <w:qFormat/>
    <w:uiPriority w:val="0"/>
    <w:rPr>
      <w:i/>
    </w:rPr>
  </w:style>
  <w:style w:type="character" w:styleId="24">
    <w:name w:val="Hyperlink"/>
    <w:basedOn w:val="20"/>
    <w:qFormat/>
    <w:uiPriority w:val="0"/>
    <w:rPr>
      <w:color w:val="0000FF"/>
      <w:u w:val="single"/>
    </w:rPr>
  </w:style>
  <w:style w:type="character" w:styleId="25">
    <w:name w:val="annotation reference"/>
    <w:basedOn w:val="20"/>
    <w:qFormat/>
    <w:uiPriority w:val="0"/>
    <w:rPr>
      <w:sz w:val="21"/>
      <w:szCs w:val="21"/>
    </w:rPr>
  </w:style>
  <w:style w:type="character" w:customStyle="1" w:styleId="26">
    <w:name w:val="正文文本缩进 2 字符"/>
    <w:basedOn w:val="20"/>
    <w:link w:val="12"/>
    <w:qFormat/>
    <w:uiPriority w:val="0"/>
    <w:rPr>
      <w:kern w:val="2"/>
      <w:sz w:val="21"/>
      <w:szCs w:val="24"/>
    </w:rPr>
  </w:style>
  <w:style w:type="character" w:customStyle="1" w:styleId="27">
    <w:name w:val="纯文本 字符"/>
    <w:basedOn w:val="20"/>
    <w:link w:val="10"/>
    <w:qFormat/>
    <w:uiPriority w:val="0"/>
    <w:rPr>
      <w:rFonts w:ascii="宋体" w:hAnsi="Courier New" w:cs="Courier New"/>
      <w:kern w:val="2"/>
      <w:sz w:val="21"/>
      <w:szCs w:val="21"/>
    </w:rPr>
  </w:style>
  <w:style w:type="character" w:customStyle="1" w:styleId="28">
    <w:name w:val="正文文本缩进 3 字符"/>
    <w:basedOn w:val="20"/>
    <w:link w:val="2"/>
    <w:qFormat/>
    <w:uiPriority w:val="0"/>
    <w:rPr>
      <w:kern w:val="2"/>
      <w:sz w:val="16"/>
      <w:szCs w:val="16"/>
    </w:rPr>
  </w:style>
  <w:style w:type="paragraph" w:customStyle="1" w:styleId="2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30">
    <w:name w:val="List Paragraph"/>
    <w:basedOn w:val="1"/>
    <w:qFormat/>
    <w:uiPriority w:val="34"/>
    <w:pPr>
      <w:ind w:firstLine="420" w:firstLineChars="200"/>
    </w:pPr>
  </w:style>
  <w:style w:type="paragraph" w:customStyle="1" w:styleId="31">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正文文本缩进 2 Char1"/>
    <w:basedOn w:val="20"/>
    <w:semiHidden/>
    <w:qFormat/>
    <w:locked/>
    <w:uiPriority w:val="0"/>
    <w:rPr>
      <w:kern w:val="2"/>
      <w:sz w:val="21"/>
      <w:szCs w:val="24"/>
    </w:rPr>
  </w:style>
  <w:style w:type="character" w:customStyle="1" w:styleId="33">
    <w:name w:val="文档结构图 字符"/>
    <w:basedOn w:val="20"/>
    <w:link w:val="4"/>
    <w:qFormat/>
    <w:uiPriority w:val="0"/>
    <w:rPr>
      <w:rFonts w:ascii="宋体"/>
      <w:kern w:val="2"/>
      <w:sz w:val="18"/>
      <w:szCs w:val="18"/>
    </w:rPr>
  </w:style>
  <w:style w:type="paragraph" w:customStyle="1" w:styleId="34">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9</Pages>
  <Words>4947</Words>
  <Characters>5552</Characters>
  <Lines>45</Lines>
  <Paragraphs>12</Paragraphs>
  <TotalTime>1</TotalTime>
  <ScaleCrop>false</ScaleCrop>
  <LinksUpToDate>false</LinksUpToDate>
  <CharactersWithSpaces>5695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2023-04-07T07:03:00Z</dcterms:modified>
  <dc:title>《质量手册》批准发布令</dc:title>
  <cp:revision>1337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