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6"/>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XTXPS/ZN-QJY-2022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特种设备行政许可</w:t>
      </w:r>
    </w:p>
    <w:p>
      <w:pPr>
        <w:spacing w:line="760" w:lineRule="exact"/>
        <w:jc w:val="center"/>
        <w:rPr>
          <w:rFonts w:ascii="隶书" w:hAnsi="宋体" w:eastAsia="隶书" w:cs="宋体"/>
          <w:b/>
          <w:bCs/>
          <w:sz w:val="84"/>
          <w:szCs w:val="84"/>
        </w:rPr>
      </w:pPr>
      <w:r>
        <w:rPr>
          <w:rFonts w:hint="eastAsia" w:ascii="隶书" w:hAnsi="宋体" w:eastAsia="隶书" w:cs="宋体"/>
          <w:b/>
          <w:bCs/>
          <w:sz w:val="84"/>
          <w:szCs w:val="84"/>
        </w:rPr>
        <w:t>现场鉴定评审指南</w:t>
      </w:r>
    </w:p>
    <w:p>
      <w:pPr>
        <w:spacing w:line="480" w:lineRule="exact"/>
        <w:jc w:val="center"/>
        <w:rPr>
          <w:rFonts w:ascii="隶书" w:hAnsi="宋体" w:eastAsia="隶书" w:cs="宋体"/>
          <w:b/>
          <w:bCs/>
          <w:sz w:val="84"/>
          <w:szCs w:val="84"/>
        </w:rPr>
      </w:pPr>
    </w:p>
    <w:p>
      <w:pPr>
        <w:spacing w:line="760" w:lineRule="exact"/>
        <w:jc w:val="center"/>
        <w:rPr>
          <w:rFonts w:ascii="隶书" w:hAnsi="宋体" w:eastAsia="隶书" w:cs="宋体"/>
          <w:b/>
          <w:bCs/>
          <w:spacing w:val="3"/>
          <w:sz w:val="84"/>
          <w:szCs w:val="84"/>
        </w:rPr>
      </w:pPr>
      <w:r>
        <w:rPr>
          <w:rFonts w:hint="eastAsia" w:ascii="隶书" w:hAnsi="宋体" w:eastAsia="隶书" w:cs="宋体"/>
          <w:b/>
          <w:bCs/>
          <w:spacing w:val="3"/>
          <w:sz w:val="84"/>
          <w:szCs w:val="84"/>
        </w:rPr>
        <w:t>第</w:t>
      </w:r>
      <w:r>
        <w:rPr>
          <w:rFonts w:ascii="隶书" w:hAnsi="宋体" w:eastAsia="隶书" w:cs="宋体"/>
          <w:b/>
          <w:bCs/>
          <w:spacing w:val="3"/>
          <w:sz w:val="72"/>
          <w:szCs w:val="72"/>
        </w:rPr>
        <w:t>16</w:t>
      </w:r>
      <w:r>
        <w:rPr>
          <w:rFonts w:hint="eastAsia" w:ascii="隶书" w:hAnsi="宋体" w:eastAsia="隶书" w:cs="宋体"/>
          <w:b/>
          <w:bCs/>
          <w:spacing w:val="3"/>
          <w:sz w:val="84"/>
          <w:szCs w:val="84"/>
        </w:rPr>
        <w:t>部分 专用指南</w:t>
      </w:r>
    </w:p>
    <w:p>
      <w:pPr>
        <w:spacing w:line="760" w:lineRule="exact"/>
        <w:jc w:val="center"/>
        <w:rPr>
          <w:rFonts w:ascii="隶书" w:hAnsi="宋体" w:eastAsia="隶书" w:cs="宋体"/>
          <w:b/>
          <w:bCs/>
          <w:spacing w:val="3"/>
          <w:sz w:val="84"/>
          <w:szCs w:val="84"/>
        </w:rPr>
      </w:pPr>
      <w:r>
        <w:rPr>
          <w:rFonts w:hint="eastAsia" w:ascii="隶书" w:hAnsi="宋体" w:eastAsia="隶书" w:cs="宋体"/>
          <w:b/>
          <w:bCs/>
          <w:sz w:val="84"/>
          <w:szCs w:val="84"/>
        </w:rPr>
        <w:t>起重机械检验机构</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hint="eastAsia"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9" w:name="_GoBack"/>
      <w:bookmarkEnd w:id="9"/>
      <w:r>
        <w:rPr>
          <w:rFonts w:hint="eastAsia" w:ascii="隶书" w:hAnsi="黑体" w:eastAsia="隶书"/>
          <w:sz w:val="52"/>
          <w:szCs w:val="52"/>
        </w:rPr>
        <w:t xml:space="preserve"> </w:t>
      </w:r>
    </w:p>
    <w:p>
      <w:pPr>
        <w:jc w:val="center"/>
        <w:rPr>
          <w:rFonts w:eastAsia="隶书"/>
          <w:b/>
          <w:bCs/>
          <w:sz w:val="30"/>
        </w:rPr>
      </w:pPr>
    </w:p>
    <w:p>
      <w:pPr>
        <w:tabs>
          <w:tab w:val="left" w:pos="3820"/>
        </w:tabs>
        <w:jc w:val="left"/>
        <w:rPr>
          <w:rFonts w:eastAsia="隶书"/>
          <w:b/>
          <w:bCs/>
          <w:sz w:val="30"/>
        </w:rPr>
      </w:pPr>
      <w:r>
        <w:rPr>
          <w:rFonts w:hint="eastAsia" w:eastAsia="隶书"/>
          <w:b/>
          <w:bCs/>
          <w:sz w:val="30"/>
        </w:rPr>
        <w:tab/>
      </w:r>
    </w:p>
    <w:p>
      <w:pPr>
        <w:jc w:val="center"/>
        <w:rPr>
          <w:rFonts w:eastAsia="隶书"/>
          <w:b/>
          <w:sz w:val="48"/>
        </w:rPr>
      </w:pPr>
      <w:r>
        <w:rPr>
          <w:rFonts w:hint="eastAsia" w:eastAsia="隶书"/>
          <w:b/>
          <w:sz w:val="48"/>
        </w:rPr>
        <w:t>湖南省特种设备协会</w:t>
      </w:r>
    </w:p>
    <w:p>
      <w:pPr>
        <w:jc w:val="center"/>
        <w:rPr>
          <w:rFonts w:hint="eastAsia" w:eastAsia="隶书"/>
          <w:spacing w:val="-6"/>
          <w:sz w:val="32"/>
        </w:rPr>
      </w:pPr>
    </w:p>
    <w:p>
      <w:pPr>
        <w:spacing w:before="312" w:beforeLines="100" w:after="100" w:afterAutospacing="1" w:line="400" w:lineRule="exact"/>
        <w:jc w:val="center"/>
        <w:outlineLvl w:val="0"/>
        <w:rPr>
          <w:rFonts w:ascii="黑体" w:hAnsi="黑体" w:eastAsia="黑体"/>
          <w:b/>
          <w:sz w:val="32"/>
          <w:szCs w:val="32"/>
        </w:rPr>
      </w:pPr>
      <w:bookmarkStart w:id="0" w:name="OLE_LINK53"/>
      <w:bookmarkStart w:id="1" w:name="OLE_LINK54"/>
      <w:r>
        <w:rPr>
          <w:rFonts w:hint="eastAsia" w:ascii="黑体" w:hAnsi="黑体" w:eastAsia="黑体"/>
          <w:b/>
          <w:sz w:val="32"/>
          <w:szCs w:val="32"/>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第1</w:t>
      </w:r>
      <w:r>
        <w:rPr>
          <w:rFonts w:ascii="黑体" w:hAnsi="黑体" w:eastAsia="黑体"/>
          <w:b/>
          <w:sz w:val="32"/>
          <w:szCs w:val="32"/>
        </w:rPr>
        <w:t>6</w:t>
      </w:r>
      <w:r>
        <w:rPr>
          <w:rFonts w:hint="eastAsia" w:ascii="黑体" w:hAnsi="黑体" w:eastAsia="黑体"/>
          <w:b/>
          <w:sz w:val="32"/>
          <w:szCs w:val="32"/>
        </w:rPr>
        <w:t>部分 专用指南 起重机械检验机构</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本部分为特种设备行政许可现场鉴定评审指南第1</w:t>
      </w:r>
      <w:r>
        <w:rPr>
          <w:rFonts w:ascii="宋体" w:hAnsi="宋体"/>
          <w:sz w:val="24"/>
        </w:rPr>
        <w:t>6</w:t>
      </w:r>
      <w:r>
        <w:rPr>
          <w:rFonts w:hint="eastAsia" w:ascii="宋体" w:hAnsi="宋体"/>
          <w:sz w:val="24"/>
        </w:rPr>
        <w:t>部分 专用指南 起重机械检验机构。</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rPr>
        <w:t>起重机械检验机构鉴定评审的基本程序、迎审准备和现场鉴定评审的配合事项及需要提交的资料等方面的基本要求。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Start w:id="7" w:name="OLE_LINK115"/>
      <w:r>
        <w:rPr>
          <w:rFonts w:hint="eastAsia" w:ascii="宋体" w:hAnsi="宋体"/>
          <w:sz w:val="24"/>
        </w:rPr>
        <w:t xml:space="preserve"> </w:t>
      </w:r>
      <w:bookmarkEnd w:id="6"/>
      <w:bookmarkEnd w:id="7"/>
      <w:r>
        <w:rPr>
          <w:rFonts w:hint="eastAsia" w:ascii="宋体" w:hAnsi="宋体"/>
          <w:sz w:val="24"/>
        </w:rPr>
        <w:t>TSG Z7001-2021 特种设备检验机构核准规则</w:t>
      </w:r>
    </w:p>
    <w:p>
      <w:pPr>
        <w:spacing w:line="360" w:lineRule="auto"/>
        <w:ind w:firstLine="480" w:firstLineChars="200"/>
        <w:rPr>
          <w:rFonts w:ascii="宋体" w:hAnsi="宋体"/>
          <w:sz w:val="24"/>
        </w:rPr>
      </w:pPr>
      <w:r>
        <w:rPr>
          <w:rFonts w:hint="eastAsia" w:ascii="宋体" w:hAnsi="宋体"/>
          <w:sz w:val="24"/>
        </w:rPr>
        <w:t>2.4  XTXPS/ZN-JXC-2022 特种设备行政许可现场鉴定评审指南 第1部分 通用指南 基本程序和要求</w:t>
      </w:r>
    </w:p>
    <w:p>
      <w:pPr>
        <w:spacing w:line="360" w:lineRule="auto"/>
        <w:ind w:firstLine="480" w:firstLineChars="200"/>
        <w:rPr>
          <w:rFonts w:ascii="宋体" w:hAnsi="宋体"/>
          <w:sz w:val="24"/>
        </w:rPr>
      </w:pPr>
      <w:r>
        <w:rPr>
          <w:rFonts w:hint="eastAsia" w:ascii="宋体" w:hAnsi="宋体"/>
          <w:sz w:val="24"/>
        </w:rPr>
        <w:t>2.5  其他相关特种设备安全技术规范和标准</w:t>
      </w:r>
    </w:p>
    <w:p>
      <w:pPr>
        <w:tabs>
          <w:tab w:val="left" w:pos="2490"/>
        </w:tabs>
        <w:spacing w:line="480" w:lineRule="auto"/>
        <w:outlineLvl w:val="0"/>
        <w:rPr>
          <w:rFonts w:ascii="宋体" w:hAnsi="宋体" w:cs="黑体"/>
          <w:b/>
          <w:sz w:val="24"/>
        </w:rPr>
      </w:pPr>
      <w:r>
        <w:rPr>
          <w:rFonts w:hint="eastAsia" w:ascii="宋体" w:hAnsi="宋体" w:cs="黑体"/>
          <w:b/>
          <w:sz w:val="24"/>
        </w:rPr>
        <w:t>3  术语</w:t>
      </w:r>
    </w:p>
    <w:p>
      <w:pPr>
        <w:spacing w:line="360" w:lineRule="auto"/>
        <w:ind w:firstLine="480" w:firstLineChars="200"/>
        <w:rPr>
          <w:rFonts w:ascii="宋体" w:hAnsi="宋体"/>
          <w:sz w:val="24"/>
        </w:rPr>
      </w:pPr>
      <w:r>
        <w:rPr>
          <w:rFonts w:hint="eastAsia" w:ascii="宋体" w:hAnsi="宋体"/>
          <w:sz w:val="24"/>
        </w:rPr>
        <w:t>本指南除采用上述引用文件中界定的术语和定义外，还采用以下术语和定义。</w:t>
      </w:r>
    </w:p>
    <w:p>
      <w:pPr>
        <w:spacing w:line="360" w:lineRule="auto"/>
        <w:ind w:firstLine="480" w:firstLineChars="200"/>
        <w:rPr>
          <w:rFonts w:ascii="宋体" w:hAnsi="宋体"/>
          <w:sz w:val="24"/>
        </w:rPr>
      </w:pPr>
      <w:r>
        <w:rPr>
          <w:rFonts w:hint="eastAsia" w:ascii="宋体" w:hAnsi="宋体"/>
          <w:sz w:val="24"/>
        </w:rPr>
        <w:t>3.1 专业技术人员：指具有中专及以上学历，理工科专业的人员，或具有技术员及以上职称的人员。</w:t>
      </w:r>
    </w:p>
    <w:p>
      <w:pPr>
        <w:spacing w:line="360" w:lineRule="auto"/>
        <w:ind w:firstLine="480" w:firstLineChars="200"/>
        <w:rPr>
          <w:rFonts w:ascii="宋体" w:hAnsi="宋体"/>
          <w:sz w:val="24"/>
        </w:rPr>
      </w:pPr>
      <w:r>
        <w:rPr>
          <w:rFonts w:hint="eastAsia" w:ascii="宋体" w:hAnsi="宋体"/>
          <w:sz w:val="24"/>
        </w:rPr>
        <w:t>3.2 持证人员：指持有市场监督管理部门颁发的特种设备检验人员资格证、无损检测人员资格证（含已办理正式退休手续，但注册资格证仍在有效期内的全职人员）。</w:t>
      </w:r>
    </w:p>
    <w:p>
      <w:pPr>
        <w:spacing w:line="360" w:lineRule="auto"/>
        <w:ind w:firstLine="480" w:firstLineChars="200"/>
        <w:rPr>
          <w:rFonts w:ascii="宋体" w:hAnsi="宋体"/>
          <w:sz w:val="24"/>
        </w:rPr>
      </w:pPr>
      <w:r>
        <w:rPr>
          <w:rFonts w:hint="eastAsia" w:ascii="宋体" w:hAnsi="宋体"/>
          <w:sz w:val="24"/>
        </w:rPr>
        <w:t>3.3 固定资产：指房屋（包括办公用房、检验检测用房、仓库、职工生活用房、食堂用房、锅炉房等）、建筑物（包括道路、围墙、水塔、雕塑等）及其附属设施（包括房屋、建筑物内的电梯、通讯线路、输电线路、水气管道等），专用的机器、机械、运输工具，办公和事务用的通用性设备、交通工具、通讯工具、家具等，以及其它与检验检测有关的设备设施、器具与工具等。不属于上述范围的物品，按国家或地方相关规定执行。</w:t>
      </w:r>
    </w:p>
    <w:p>
      <w:pPr>
        <w:spacing w:line="360" w:lineRule="auto"/>
        <w:ind w:firstLine="480" w:firstLineChars="200"/>
        <w:rPr>
          <w:rFonts w:ascii="宋体" w:hAnsi="宋体"/>
          <w:sz w:val="24"/>
        </w:rPr>
      </w:pPr>
      <w:r>
        <w:rPr>
          <w:rFonts w:hint="eastAsia" w:ascii="宋体" w:hAnsi="宋体"/>
          <w:sz w:val="24"/>
        </w:rPr>
        <w:t>3.4 固定资产总值（原值）：指3.3所述固定资产原值的总和。</w:t>
      </w:r>
    </w:p>
    <w:p>
      <w:pPr>
        <w:spacing w:line="360" w:lineRule="auto"/>
        <w:ind w:firstLine="480" w:firstLineChars="200"/>
        <w:rPr>
          <w:rFonts w:ascii="宋体" w:hAnsi="宋体"/>
          <w:sz w:val="24"/>
        </w:rPr>
      </w:pPr>
      <w:r>
        <w:rPr>
          <w:rFonts w:hint="eastAsia" w:ascii="宋体" w:hAnsi="宋体"/>
          <w:sz w:val="24"/>
        </w:rPr>
        <w:t>3.5 检验设备资产总值（原值）：指检验仪器、设备以及计算机、办公系统（包括办公自动化设备、软件）的资产总原值。车辆以及报废的仪器设备和办公设备不计，但检验检测专用车（指具有检验检测功能，脱离车辆不能实施检验检测的车辆）计入。</w:t>
      </w:r>
    </w:p>
    <w:p>
      <w:pPr>
        <w:spacing w:line="360" w:lineRule="auto"/>
        <w:ind w:firstLine="480" w:firstLineChars="200"/>
        <w:rPr>
          <w:rFonts w:ascii="宋体" w:hAnsi="宋体"/>
          <w:sz w:val="24"/>
        </w:rPr>
      </w:pPr>
      <w:r>
        <w:rPr>
          <w:rFonts w:hint="eastAsia" w:ascii="宋体" w:hAnsi="宋体"/>
          <w:sz w:val="24"/>
        </w:rPr>
        <w:t>3.6 特种设备检验师（员）：指检验机构注册的所有项目检验师（员）。</w:t>
      </w:r>
    </w:p>
    <w:p>
      <w:pPr>
        <w:spacing w:line="360" w:lineRule="auto"/>
        <w:ind w:firstLine="480" w:firstLineChars="200"/>
        <w:rPr>
          <w:rFonts w:ascii="宋体" w:hAnsi="宋体"/>
          <w:sz w:val="24"/>
        </w:rPr>
      </w:pPr>
      <w:r>
        <w:rPr>
          <w:rFonts w:hint="eastAsia" w:ascii="宋体" w:hAnsi="宋体"/>
          <w:sz w:val="24"/>
        </w:rPr>
        <w:t>3.7 起重机械检验师（员）：指检验机构注册的起重机械检验师（员）。</w:t>
      </w:r>
    </w:p>
    <w:p>
      <w:pPr>
        <w:spacing w:line="360" w:lineRule="auto"/>
        <w:ind w:firstLine="480" w:firstLineChars="200"/>
        <w:rPr>
          <w:rFonts w:ascii="宋体" w:hAnsi="宋体"/>
          <w:sz w:val="24"/>
        </w:rPr>
      </w:pPr>
      <w:r>
        <w:rPr>
          <w:rFonts w:hint="eastAsia" w:ascii="宋体" w:hAnsi="宋体"/>
          <w:sz w:val="24"/>
        </w:rPr>
        <w:t>3.8 关键岗位：是指技术负责人、质量负责人、检验责任师。</w:t>
      </w:r>
    </w:p>
    <w:p>
      <w:pPr>
        <w:tabs>
          <w:tab w:val="left" w:pos="2490"/>
        </w:tabs>
        <w:spacing w:line="480" w:lineRule="auto"/>
        <w:outlineLvl w:val="0"/>
        <w:rPr>
          <w:rFonts w:ascii="宋体" w:hAnsi="宋体" w:cs="黑体"/>
          <w:b/>
          <w:sz w:val="24"/>
        </w:rPr>
      </w:pPr>
      <w:r>
        <w:rPr>
          <w:rFonts w:hint="eastAsia" w:ascii="宋体" w:hAnsi="宋体" w:cs="黑体"/>
          <w:b/>
          <w:sz w:val="24"/>
        </w:rPr>
        <w:t>4  鉴定评审程序</w:t>
      </w:r>
    </w:p>
    <w:p>
      <w:pPr>
        <w:spacing w:line="360" w:lineRule="auto"/>
        <w:ind w:firstLine="480" w:firstLineChars="200"/>
        <w:rPr>
          <w:rFonts w:ascii="宋体" w:hAnsi="宋体"/>
          <w:sz w:val="24"/>
        </w:rPr>
      </w:pPr>
      <w:r>
        <w:rPr>
          <w:rFonts w:hint="eastAsia" w:ascii="宋体" w:hAnsi="宋体"/>
          <w:sz w:val="24"/>
        </w:rPr>
        <w:t>鉴定评审分为首次核准、延续核准、增项核准及变更核准鉴定评审。</w:t>
      </w:r>
    </w:p>
    <w:p>
      <w:pPr>
        <w:spacing w:line="360" w:lineRule="auto"/>
        <w:ind w:firstLine="480" w:firstLineChars="200"/>
        <w:rPr>
          <w:rFonts w:ascii="宋体" w:hAnsi="宋体"/>
          <w:sz w:val="24"/>
        </w:rPr>
      </w:pPr>
      <w:r>
        <w:rPr>
          <w:rFonts w:hint="eastAsia" w:ascii="宋体" w:hAnsi="宋体"/>
          <w:sz w:val="24"/>
        </w:rPr>
        <w:t>鉴定评审的基本程序，一般包括：确认申请材料、日程安排、组成评审组、现场鉴定评审、整改确认和提交鉴定评审报告。</w:t>
      </w:r>
    </w:p>
    <w:p>
      <w:pPr>
        <w:spacing w:line="360" w:lineRule="auto"/>
        <w:ind w:firstLine="480" w:firstLineChars="200"/>
        <w:rPr>
          <w:rFonts w:ascii="宋体" w:hAnsi="宋体"/>
          <w:sz w:val="24"/>
        </w:rPr>
      </w:pPr>
      <w:r>
        <w:rPr>
          <w:rFonts w:hint="eastAsia" w:ascii="宋体" w:hAnsi="宋体"/>
          <w:sz w:val="24"/>
        </w:rPr>
        <w:t>现场鉴定评审工作程序，一般包括：首次会议、巡视、分组审查、情况汇总（内部沟通）、交换意见、总结会议等。</w:t>
      </w:r>
    </w:p>
    <w:p>
      <w:pPr>
        <w:spacing w:line="360" w:lineRule="auto"/>
        <w:ind w:firstLine="480" w:firstLineChars="200"/>
        <w:rPr>
          <w:rFonts w:ascii="宋体" w:hAnsi="宋体"/>
          <w:sz w:val="24"/>
        </w:rPr>
      </w:pPr>
      <w:r>
        <w:rPr>
          <w:rFonts w:hint="eastAsia" w:ascii="宋体" w:hAnsi="宋体"/>
          <w:sz w:val="24"/>
        </w:rPr>
        <w:t>协会接到核准机关委托后，应当在10个工作日内与申请机构商定鉴定评审日期，将鉴定评审指南、评审日期、程序和要求告知申请机构，并且在60个工作日内完成鉴定评审。</w:t>
      </w:r>
    </w:p>
    <w:p>
      <w:pPr>
        <w:spacing w:line="360" w:lineRule="auto"/>
        <w:ind w:firstLine="480" w:firstLineChars="200"/>
        <w:rPr>
          <w:rFonts w:ascii="宋体" w:hAnsi="宋体"/>
          <w:sz w:val="24"/>
        </w:rPr>
      </w:pPr>
      <w:r>
        <w:rPr>
          <w:rFonts w:hint="eastAsia" w:ascii="宋体" w:hAnsi="宋体"/>
          <w:sz w:val="24"/>
        </w:rPr>
        <w:t>4.1 确认申请材料</w:t>
      </w:r>
    </w:p>
    <w:p>
      <w:pPr>
        <w:spacing w:line="360" w:lineRule="auto"/>
        <w:ind w:firstLine="480" w:firstLineChars="200"/>
        <w:rPr>
          <w:rFonts w:ascii="宋体" w:hAnsi="宋体"/>
          <w:sz w:val="24"/>
        </w:rPr>
      </w:pPr>
      <w:r>
        <w:rPr>
          <w:rFonts w:hint="eastAsia" w:ascii="宋体" w:hAnsi="宋体"/>
          <w:sz w:val="24"/>
        </w:rPr>
        <w:t>4.1.1 申请机构网上申请被受理后，应与协会联系并提交以下资料：</w:t>
      </w:r>
    </w:p>
    <w:p>
      <w:pPr>
        <w:spacing w:line="360" w:lineRule="auto"/>
        <w:ind w:firstLine="480" w:firstLineChars="200"/>
        <w:rPr>
          <w:rFonts w:ascii="宋体" w:hAnsi="宋体"/>
          <w:sz w:val="24"/>
        </w:rPr>
      </w:pPr>
      <w:r>
        <w:rPr>
          <w:rFonts w:hint="eastAsia" w:ascii="宋体" w:hAnsi="宋体"/>
          <w:sz w:val="24"/>
        </w:rPr>
        <w:t>——特种设备行政许可受理决定书、申请书。</w:t>
      </w:r>
    </w:p>
    <w:p>
      <w:pPr>
        <w:spacing w:line="360" w:lineRule="auto"/>
        <w:ind w:firstLine="480" w:firstLineChars="200"/>
        <w:rPr>
          <w:rFonts w:ascii="宋体" w:hAnsi="宋体"/>
          <w:sz w:val="24"/>
        </w:rPr>
      </w:pPr>
      <w:r>
        <w:rPr>
          <w:rFonts w:hint="eastAsia" w:ascii="宋体" w:hAnsi="宋体"/>
          <w:sz w:val="24"/>
        </w:rPr>
        <w:t>——质量手册。</w:t>
      </w:r>
    </w:p>
    <w:p>
      <w:pPr>
        <w:spacing w:line="360" w:lineRule="auto"/>
        <w:ind w:firstLine="480" w:firstLineChars="200"/>
        <w:rPr>
          <w:rFonts w:ascii="宋体" w:hAnsi="宋体"/>
          <w:sz w:val="24"/>
        </w:rPr>
      </w:pPr>
      <w:r>
        <w:rPr>
          <w:rFonts w:hint="eastAsia" w:ascii="宋体" w:hAnsi="宋体"/>
          <w:sz w:val="24"/>
        </w:rPr>
        <w:t>——检验与检测人员注册信息。</w:t>
      </w:r>
    </w:p>
    <w:p>
      <w:pPr>
        <w:spacing w:line="360" w:lineRule="auto"/>
        <w:ind w:firstLine="480" w:firstLineChars="200"/>
        <w:rPr>
          <w:rFonts w:ascii="宋体" w:hAnsi="宋体"/>
          <w:sz w:val="24"/>
        </w:rPr>
      </w:pPr>
      <w:r>
        <w:rPr>
          <w:rFonts w:hint="eastAsia" w:ascii="宋体" w:hAnsi="宋体"/>
          <w:sz w:val="24"/>
        </w:rPr>
        <w:t>4.1.2 如资料齐全，协会应当在接到核准机关委托后的10个工作日内与申请机构商定好鉴定评审日期，并向申请机构提供评审指南。</w:t>
      </w:r>
    </w:p>
    <w:p>
      <w:pPr>
        <w:spacing w:line="360" w:lineRule="auto"/>
        <w:ind w:firstLine="480" w:firstLineChars="200"/>
        <w:rPr>
          <w:rFonts w:ascii="宋体" w:hAnsi="宋体"/>
          <w:sz w:val="24"/>
        </w:rPr>
      </w:pPr>
      <w:r>
        <w:rPr>
          <w:rFonts w:hint="eastAsia" w:ascii="宋体" w:hAnsi="宋体"/>
          <w:sz w:val="24"/>
        </w:rPr>
        <w:t>如资料不齐全或不符合规定，协会应一次性告知申请机构需要补正的内容，申请机构应当按照要求及时交补正的内容。</w:t>
      </w:r>
    </w:p>
    <w:p>
      <w:pPr>
        <w:spacing w:line="360" w:lineRule="auto"/>
        <w:ind w:firstLine="480" w:firstLineChars="200"/>
        <w:rPr>
          <w:rFonts w:ascii="宋体" w:hAnsi="宋体"/>
          <w:sz w:val="24"/>
        </w:rPr>
      </w:pPr>
      <w:r>
        <w:rPr>
          <w:rFonts w:hint="eastAsia" w:ascii="宋体" w:hAnsi="宋体"/>
          <w:sz w:val="24"/>
        </w:rPr>
        <w:t>4.2 日程安排、组成评审组</w:t>
      </w:r>
    </w:p>
    <w:p>
      <w:pPr>
        <w:spacing w:line="360" w:lineRule="auto"/>
        <w:ind w:firstLine="480" w:firstLineChars="200"/>
        <w:rPr>
          <w:rFonts w:ascii="宋体" w:hAnsi="宋体"/>
          <w:sz w:val="24"/>
        </w:rPr>
      </w:pPr>
      <w:r>
        <w:rPr>
          <w:rFonts w:hint="eastAsia" w:ascii="宋体" w:hAnsi="宋体"/>
          <w:sz w:val="24"/>
        </w:rPr>
        <w:t>4.2.1 协会根据评审员的专业特长，确定2～4名评审组成员。评审组成员应当与申请机构无直接利害关系。</w:t>
      </w:r>
    </w:p>
    <w:p>
      <w:pPr>
        <w:spacing w:line="360" w:lineRule="auto"/>
        <w:ind w:firstLine="480" w:firstLineChars="200"/>
        <w:rPr>
          <w:rFonts w:ascii="宋体" w:hAnsi="宋体"/>
          <w:sz w:val="24"/>
        </w:rPr>
      </w:pPr>
      <w:r>
        <w:rPr>
          <w:rFonts w:hint="eastAsia" w:ascii="宋体" w:hAnsi="宋体"/>
          <w:sz w:val="24"/>
        </w:rPr>
        <w:t>——现场评审的时间：一般为 2～3 日。</w:t>
      </w:r>
    </w:p>
    <w:p>
      <w:pPr>
        <w:spacing w:line="360" w:lineRule="auto"/>
        <w:ind w:firstLine="480" w:firstLineChars="200"/>
        <w:rPr>
          <w:rFonts w:ascii="宋体" w:hAnsi="宋体"/>
          <w:sz w:val="24"/>
        </w:rPr>
      </w:pPr>
      <w:r>
        <w:rPr>
          <w:rFonts w:hint="eastAsia" w:ascii="宋体" w:hAnsi="宋体"/>
          <w:sz w:val="24"/>
        </w:rPr>
        <w:t>——设有分支机构的申请机构，每个分支机构的现场评审时间一般为 1～2 日，每个分支机构的评审人数一般为 2～3 人。</w:t>
      </w:r>
    </w:p>
    <w:p>
      <w:pPr>
        <w:spacing w:line="360" w:lineRule="auto"/>
        <w:ind w:firstLine="480" w:firstLineChars="200"/>
        <w:rPr>
          <w:rFonts w:ascii="宋体" w:hAnsi="宋体"/>
          <w:sz w:val="24"/>
        </w:rPr>
      </w:pPr>
      <w:r>
        <w:rPr>
          <w:rFonts w:hint="eastAsia" w:ascii="宋体" w:hAnsi="宋体"/>
          <w:sz w:val="24"/>
        </w:rPr>
        <w:t>4.2.2 申请机构收到协会发出的鉴定评审通知函后，可以向协会对鉴定评审日期及评审人员组成提出书面意见。如无意见，应及时与评审组长取得联系，明确评审组成员日程安排等事项。</w:t>
      </w:r>
    </w:p>
    <w:p>
      <w:pPr>
        <w:spacing w:line="360" w:lineRule="auto"/>
        <w:ind w:firstLine="480" w:firstLineChars="200"/>
        <w:rPr>
          <w:rFonts w:ascii="宋体" w:hAnsi="宋体"/>
          <w:sz w:val="24"/>
        </w:rPr>
      </w:pPr>
      <w:r>
        <w:rPr>
          <w:rFonts w:hint="eastAsia" w:ascii="宋体" w:hAnsi="宋体"/>
          <w:sz w:val="24"/>
        </w:rPr>
        <w:t>4.3 现场鉴定评审</w:t>
      </w:r>
    </w:p>
    <w:p>
      <w:pPr>
        <w:spacing w:line="360" w:lineRule="auto"/>
        <w:ind w:firstLine="480" w:firstLineChars="200"/>
        <w:rPr>
          <w:rFonts w:ascii="宋体" w:hAnsi="宋体"/>
          <w:sz w:val="24"/>
        </w:rPr>
      </w:pPr>
      <w:r>
        <w:rPr>
          <w:rFonts w:hint="eastAsia" w:ascii="宋体" w:hAnsi="宋体"/>
          <w:sz w:val="24"/>
        </w:rPr>
        <w:t>现场鉴定评审的主要内容如下：</w:t>
      </w:r>
    </w:p>
    <w:p>
      <w:pPr>
        <w:spacing w:line="360" w:lineRule="auto"/>
        <w:ind w:firstLine="480" w:firstLineChars="200"/>
        <w:rPr>
          <w:rFonts w:ascii="宋体" w:hAnsi="宋体"/>
          <w:sz w:val="24"/>
        </w:rPr>
      </w:pPr>
      <w:r>
        <w:rPr>
          <w:rFonts w:hint="eastAsia" w:ascii="宋体" w:hAnsi="宋体"/>
          <w:sz w:val="24"/>
        </w:rPr>
        <w:t>——核查申请机构各项证明文件的真实性。</w:t>
      </w:r>
    </w:p>
    <w:p>
      <w:pPr>
        <w:spacing w:line="360" w:lineRule="auto"/>
        <w:ind w:firstLine="480" w:firstLineChars="200"/>
        <w:rPr>
          <w:rFonts w:ascii="宋体" w:hAnsi="宋体"/>
          <w:sz w:val="24"/>
        </w:rPr>
      </w:pPr>
      <w:r>
        <w:rPr>
          <w:rFonts w:hint="eastAsia" w:ascii="宋体" w:hAnsi="宋体"/>
          <w:sz w:val="24"/>
        </w:rPr>
        <w:t>——审查申请机构的人员、检验设备、设施等资源条件是否达到核准规则要求。</w:t>
      </w:r>
    </w:p>
    <w:p>
      <w:pPr>
        <w:spacing w:line="360" w:lineRule="auto"/>
        <w:ind w:firstLine="480" w:firstLineChars="200"/>
        <w:rPr>
          <w:rFonts w:ascii="宋体" w:hAnsi="宋体"/>
          <w:sz w:val="24"/>
        </w:rPr>
      </w:pPr>
      <w:r>
        <w:rPr>
          <w:rFonts w:hint="eastAsia" w:ascii="宋体" w:hAnsi="宋体"/>
          <w:sz w:val="24"/>
        </w:rPr>
        <w:t>——审查申请机构质量管理体系的建立与实施是否符合核准规则要求。</w:t>
      </w:r>
    </w:p>
    <w:p>
      <w:pPr>
        <w:spacing w:line="360" w:lineRule="auto"/>
        <w:ind w:firstLine="480" w:firstLineChars="200"/>
        <w:rPr>
          <w:rFonts w:ascii="宋体" w:hAnsi="宋体"/>
          <w:sz w:val="24"/>
        </w:rPr>
      </w:pPr>
      <w:r>
        <w:rPr>
          <w:rFonts w:hint="eastAsia" w:ascii="宋体" w:hAnsi="宋体"/>
          <w:sz w:val="24"/>
        </w:rPr>
        <w:t>——审查检验工作能力是否满足相关法规要求。</w:t>
      </w:r>
    </w:p>
    <w:p>
      <w:pPr>
        <w:spacing w:line="360" w:lineRule="auto"/>
        <w:ind w:firstLine="480" w:firstLineChars="200"/>
        <w:rPr>
          <w:rFonts w:ascii="宋体" w:hAnsi="宋体"/>
          <w:sz w:val="24"/>
        </w:rPr>
      </w:pPr>
      <w:r>
        <w:rPr>
          <w:rFonts w:hint="eastAsia" w:ascii="宋体" w:hAnsi="宋体"/>
          <w:sz w:val="24"/>
        </w:rPr>
        <w:t>——考察申请机构的规模、能力和管理水平，核定机构类别、核准项目代码。</w:t>
      </w:r>
    </w:p>
    <w:p>
      <w:pPr>
        <w:spacing w:line="360" w:lineRule="auto"/>
        <w:ind w:firstLine="480" w:firstLineChars="200"/>
        <w:rPr>
          <w:rFonts w:ascii="宋体" w:hAnsi="宋体"/>
          <w:sz w:val="24"/>
        </w:rPr>
      </w:pPr>
      <w:r>
        <w:rPr>
          <w:rFonts w:hint="eastAsia" w:ascii="宋体" w:hAnsi="宋体"/>
          <w:sz w:val="24"/>
        </w:rPr>
        <w:t xml:space="preserve">4.3.1 预备会 </w:t>
      </w:r>
    </w:p>
    <w:p>
      <w:pPr>
        <w:spacing w:line="360" w:lineRule="auto"/>
        <w:ind w:firstLine="480" w:firstLineChars="200"/>
        <w:rPr>
          <w:rFonts w:ascii="宋体" w:hAnsi="宋体"/>
          <w:sz w:val="24"/>
        </w:rPr>
      </w:pPr>
      <w:r>
        <w:rPr>
          <w:rFonts w:hint="eastAsia" w:ascii="宋体" w:hAnsi="宋体"/>
          <w:sz w:val="24"/>
        </w:rPr>
        <w:t>一般情况下，评审组成员在评审工作开始前一天下午到达申请机构。由评审组长主持，评审组成员、特种设备安全监督管理部门代表和申请机构代表参加，向特种设备安全监督管理部门代表通报情况，确认申请机构申请的检验机构类别、核准项目代码，明确评审组成员分工，向评审组成员传达评审计划、日程安排、评审要求、评审方法及评审工作纪律。明确检验工作能力评审中检验现场跟踪检查的项目及要求。</w:t>
      </w:r>
    </w:p>
    <w:p>
      <w:pPr>
        <w:spacing w:line="360" w:lineRule="auto"/>
        <w:ind w:firstLine="480" w:firstLineChars="200"/>
        <w:rPr>
          <w:rFonts w:ascii="宋体" w:hAnsi="宋体"/>
          <w:sz w:val="24"/>
        </w:rPr>
      </w:pPr>
      <w:r>
        <w:rPr>
          <w:rFonts w:hint="eastAsia" w:ascii="宋体" w:hAnsi="宋体"/>
          <w:sz w:val="24"/>
        </w:rPr>
        <w:t>4.3.2 首次会议</w:t>
      </w:r>
    </w:p>
    <w:p>
      <w:pPr>
        <w:spacing w:line="360" w:lineRule="auto"/>
        <w:ind w:firstLine="480" w:firstLineChars="200"/>
        <w:rPr>
          <w:rFonts w:ascii="宋体" w:hAnsi="宋体"/>
          <w:sz w:val="24"/>
        </w:rPr>
      </w:pPr>
      <w:r>
        <w:rPr>
          <w:rFonts w:hint="eastAsia" w:ascii="宋体" w:hAnsi="宋体"/>
          <w:sz w:val="24"/>
        </w:rPr>
        <w:t>由评审组长主持，评审组成员、特种设备安全监督管理部门代表和申请机构关键岗位人员及检验师等有关人员参加，与会人员在《首次会议签到表》上签名。</w:t>
      </w:r>
    </w:p>
    <w:p>
      <w:pPr>
        <w:spacing w:line="360" w:lineRule="auto"/>
        <w:ind w:firstLine="480" w:firstLineChars="200"/>
        <w:rPr>
          <w:rFonts w:ascii="宋体" w:hAnsi="宋体"/>
          <w:sz w:val="24"/>
        </w:rPr>
      </w:pPr>
      <w:r>
        <w:rPr>
          <w:rFonts w:hint="eastAsia" w:ascii="宋体" w:hAnsi="宋体"/>
          <w:sz w:val="24"/>
        </w:rPr>
        <w:t>会议大致内容如下：</w:t>
      </w:r>
    </w:p>
    <w:p>
      <w:pPr>
        <w:spacing w:line="360" w:lineRule="auto"/>
        <w:ind w:firstLine="480" w:firstLineChars="200"/>
        <w:rPr>
          <w:rFonts w:ascii="宋体" w:hAnsi="宋体"/>
          <w:sz w:val="24"/>
        </w:rPr>
      </w:pPr>
      <w:r>
        <w:rPr>
          <w:rFonts w:hint="eastAsia" w:ascii="宋体" w:hAnsi="宋体"/>
          <w:sz w:val="24"/>
        </w:rPr>
        <w:t>——与会各方代表介绍到会人员。</w:t>
      </w:r>
    </w:p>
    <w:p>
      <w:pPr>
        <w:spacing w:line="360" w:lineRule="auto"/>
        <w:ind w:firstLine="480" w:firstLineChars="200"/>
        <w:rPr>
          <w:rFonts w:ascii="宋体" w:hAnsi="宋体"/>
          <w:sz w:val="24"/>
        </w:rPr>
      </w:pPr>
      <w:r>
        <w:rPr>
          <w:rFonts w:hint="eastAsia" w:ascii="宋体" w:hAnsi="宋体"/>
          <w:sz w:val="24"/>
        </w:rPr>
        <w:t>——评审组长说明评审依据、评审范围、评审程序、评审分工，以及总结会议的计划时间及内容，并征求申请机构的意见。</w:t>
      </w:r>
    </w:p>
    <w:p>
      <w:pPr>
        <w:spacing w:line="360" w:lineRule="auto"/>
        <w:ind w:firstLine="480" w:firstLineChars="200"/>
        <w:rPr>
          <w:rFonts w:ascii="宋体" w:hAnsi="宋体"/>
          <w:sz w:val="24"/>
        </w:rPr>
      </w:pPr>
      <w:r>
        <w:rPr>
          <w:rFonts w:hint="eastAsia" w:ascii="宋体" w:hAnsi="宋体"/>
          <w:sz w:val="24"/>
        </w:rPr>
        <w:t>——申请机构负责人简要介绍鉴定评审准备情况和自查情况。</w:t>
      </w:r>
    </w:p>
    <w:p>
      <w:pPr>
        <w:spacing w:line="360" w:lineRule="auto"/>
        <w:ind w:firstLine="480" w:firstLineChars="200"/>
        <w:rPr>
          <w:rFonts w:ascii="宋体" w:hAnsi="宋体"/>
          <w:sz w:val="24"/>
        </w:rPr>
      </w:pPr>
      <w:r>
        <w:rPr>
          <w:rFonts w:hint="eastAsia" w:ascii="宋体" w:hAnsi="宋体"/>
          <w:sz w:val="24"/>
        </w:rPr>
        <w:t>——评审组长与申请机构负责人明确需要澄清的其他问题。</w:t>
      </w:r>
    </w:p>
    <w:p>
      <w:pPr>
        <w:spacing w:line="360" w:lineRule="auto"/>
        <w:ind w:firstLine="480" w:firstLineChars="200"/>
        <w:rPr>
          <w:rFonts w:ascii="宋体" w:hAnsi="宋体"/>
          <w:sz w:val="24"/>
        </w:rPr>
      </w:pPr>
      <w:r>
        <w:rPr>
          <w:rFonts w:hint="eastAsia" w:ascii="宋体" w:hAnsi="宋体"/>
          <w:sz w:val="24"/>
        </w:rPr>
        <w:t>——评审组长与申请机构明确评审组的工作场所、工作条件以及联络与配合人员。</w:t>
      </w:r>
    </w:p>
    <w:p>
      <w:pPr>
        <w:spacing w:line="360" w:lineRule="auto"/>
        <w:ind w:firstLine="480" w:firstLineChars="200"/>
        <w:rPr>
          <w:rFonts w:ascii="宋体" w:hAnsi="宋体"/>
          <w:sz w:val="24"/>
        </w:rPr>
      </w:pPr>
      <w:r>
        <w:rPr>
          <w:rFonts w:hint="eastAsia" w:ascii="宋体" w:hAnsi="宋体"/>
          <w:sz w:val="24"/>
        </w:rPr>
        <w:t>——评审组长代表评审组作出客观、公正、保密的承诺。</w:t>
      </w:r>
    </w:p>
    <w:p>
      <w:pPr>
        <w:spacing w:line="360" w:lineRule="auto"/>
        <w:ind w:firstLine="480" w:firstLineChars="200"/>
        <w:rPr>
          <w:rFonts w:ascii="宋体" w:hAnsi="宋体"/>
          <w:sz w:val="24"/>
        </w:rPr>
      </w:pPr>
      <w:r>
        <w:rPr>
          <w:rFonts w:hint="eastAsia" w:ascii="宋体" w:hAnsi="宋体"/>
          <w:sz w:val="24"/>
        </w:rPr>
        <w:t>——特种设备安全监督管理部门代表提出安全监察的有关要求。</w:t>
      </w:r>
    </w:p>
    <w:p>
      <w:pPr>
        <w:spacing w:line="360" w:lineRule="auto"/>
        <w:ind w:firstLine="480" w:firstLineChars="200"/>
        <w:rPr>
          <w:rFonts w:ascii="宋体" w:hAnsi="宋体"/>
          <w:sz w:val="24"/>
        </w:rPr>
      </w:pPr>
      <w:r>
        <w:rPr>
          <w:rFonts w:hint="eastAsia" w:ascii="宋体" w:hAnsi="宋体"/>
          <w:sz w:val="24"/>
        </w:rPr>
        <w:t>4.3.3 巡视</w:t>
      </w:r>
    </w:p>
    <w:p>
      <w:pPr>
        <w:spacing w:line="360" w:lineRule="auto"/>
        <w:ind w:firstLine="480" w:firstLineChars="200"/>
        <w:rPr>
          <w:rFonts w:ascii="宋体" w:hAnsi="宋体"/>
          <w:sz w:val="24"/>
        </w:rPr>
      </w:pPr>
      <w:r>
        <w:rPr>
          <w:rFonts w:hint="eastAsia" w:ascii="宋体" w:hAnsi="宋体"/>
          <w:sz w:val="24"/>
        </w:rPr>
        <w:t>首次会议结束后，评审组对申请机构办公场地、仪器设备室、资料室等进行必要的巡视，评审员根据分工，重点关注各自负责评审的相关部分，增加对申请机构的直观认识。</w:t>
      </w:r>
    </w:p>
    <w:p>
      <w:pPr>
        <w:spacing w:line="360" w:lineRule="auto"/>
        <w:ind w:firstLine="480" w:firstLineChars="200"/>
        <w:rPr>
          <w:rFonts w:ascii="宋体" w:hAnsi="宋体"/>
          <w:sz w:val="24"/>
        </w:rPr>
      </w:pPr>
      <w:r>
        <w:rPr>
          <w:rFonts w:hint="eastAsia" w:ascii="宋体" w:hAnsi="宋体"/>
          <w:sz w:val="24"/>
        </w:rPr>
        <w:t>4.3.4 分组审查</w:t>
      </w:r>
    </w:p>
    <w:p>
      <w:pPr>
        <w:spacing w:line="360" w:lineRule="auto"/>
        <w:ind w:firstLine="480" w:firstLineChars="200"/>
        <w:rPr>
          <w:rFonts w:ascii="宋体" w:hAnsi="宋体"/>
          <w:sz w:val="24"/>
        </w:rPr>
      </w:pPr>
      <w:r>
        <w:rPr>
          <w:rFonts w:hint="eastAsia" w:ascii="宋体" w:hAnsi="宋体"/>
          <w:sz w:val="24"/>
        </w:rPr>
        <w:t>4.3.4.1 资源条件的评审</w:t>
      </w:r>
    </w:p>
    <w:p>
      <w:pPr>
        <w:spacing w:line="360" w:lineRule="auto"/>
        <w:ind w:firstLine="480" w:firstLineChars="200"/>
        <w:rPr>
          <w:rFonts w:ascii="宋体" w:hAnsi="宋体"/>
          <w:sz w:val="24"/>
        </w:rPr>
      </w:pPr>
      <w:r>
        <w:rPr>
          <w:rFonts w:hint="eastAsia" w:ascii="宋体" w:hAnsi="宋体"/>
          <w:sz w:val="24"/>
        </w:rPr>
        <w:t>资源条件方面依据核准规则，通过查阅见证资料、查看实物、交谈、观察所涉及领域的活动等，对申请机构资源条件进行评审。</w:t>
      </w:r>
    </w:p>
    <w:p>
      <w:pPr>
        <w:spacing w:line="360" w:lineRule="auto"/>
        <w:ind w:firstLine="480" w:firstLineChars="200"/>
        <w:rPr>
          <w:rFonts w:ascii="宋体" w:hAnsi="宋体"/>
          <w:sz w:val="24"/>
        </w:rPr>
      </w:pPr>
      <w:r>
        <w:rPr>
          <w:rFonts w:hint="eastAsia" w:ascii="宋体" w:hAnsi="宋体"/>
          <w:sz w:val="24"/>
        </w:rPr>
        <w:t>评审的内容包括：申请机构的法律地位、人员、资产配置、检验设备、场地与设施、法规标准、信息化管理系统、检验业绩、资料保存、外委等。</w:t>
      </w:r>
    </w:p>
    <w:p>
      <w:pPr>
        <w:spacing w:line="360" w:lineRule="auto"/>
        <w:ind w:firstLine="480" w:firstLineChars="200"/>
        <w:rPr>
          <w:rFonts w:ascii="宋体" w:hAnsi="宋体"/>
          <w:sz w:val="24"/>
        </w:rPr>
      </w:pPr>
      <w:r>
        <w:rPr>
          <w:rFonts w:hint="eastAsia" w:ascii="宋体" w:hAnsi="宋体"/>
          <w:sz w:val="24"/>
        </w:rPr>
        <w:t>4.3.4.1.1 需要审查、核实的资料</w:t>
      </w:r>
    </w:p>
    <w:p>
      <w:pPr>
        <w:spacing w:line="360" w:lineRule="auto"/>
        <w:ind w:firstLine="480" w:firstLineChars="200"/>
        <w:rPr>
          <w:rFonts w:ascii="宋体" w:hAnsi="宋体"/>
          <w:sz w:val="24"/>
        </w:rPr>
      </w:pPr>
      <w:r>
        <w:rPr>
          <w:rFonts w:hint="eastAsia" w:ascii="宋体" w:hAnsi="宋体"/>
          <w:sz w:val="24"/>
        </w:rPr>
        <w:t>——法律地位的证明文件（事业单位法人证书/营业执照、自检机构的建制批准文件等，原件）。</w:t>
      </w:r>
    </w:p>
    <w:p>
      <w:pPr>
        <w:spacing w:line="360" w:lineRule="auto"/>
        <w:ind w:firstLine="480" w:firstLineChars="200"/>
        <w:rPr>
          <w:rFonts w:ascii="宋体" w:hAnsi="宋体"/>
          <w:sz w:val="24"/>
        </w:rPr>
      </w:pPr>
      <w:r>
        <w:rPr>
          <w:rFonts w:hint="eastAsia" w:ascii="宋体" w:hAnsi="宋体"/>
          <w:sz w:val="24"/>
        </w:rPr>
        <w:t>——机构负责人任命或者聘用文件。</w:t>
      </w:r>
    </w:p>
    <w:p>
      <w:pPr>
        <w:spacing w:line="360" w:lineRule="auto"/>
        <w:ind w:firstLine="480" w:firstLineChars="200"/>
        <w:rPr>
          <w:rFonts w:ascii="宋体" w:hAnsi="宋体"/>
          <w:sz w:val="24"/>
        </w:rPr>
      </w:pPr>
      <w:r>
        <w:rPr>
          <w:rFonts w:hint="eastAsia" w:ascii="宋体" w:hAnsi="宋体"/>
          <w:sz w:val="24"/>
        </w:rPr>
        <w:t>——现有核准证书（原件）。</w:t>
      </w:r>
    </w:p>
    <w:p>
      <w:pPr>
        <w:spacing w:line="360" w:lineRule="auto"/>
        <w:ind w:firstLine="480" w:firstLineChars="200"/>
        <w:rPr>
          <w:rFonts w:ascii="宋体" w:hAnsi="宋体"/>
          <w:sz w:val="24"/>
        </w:rPr>
      </w:pPr>
      <w:r>
        <w:rPr>
          <w:rFonts w:hint="eastAsia" w:ascii="宋体" w:hAnsi="宋体"/>
          <w:sz w:val="24"/>
        </w:rPr>
        <w:t>——检验检测收费标准。</w:t>
      </w:r>
    </w:p>
    <w:p>
      <w:pPr>
        <w:spacing w:line="360" w:lineRule="auto"/>
        <w:ind w:firstLine="480" w:firstLineChars="200"/>
        <w:rPr>
          <w:rFonts w:ascii="宋体" w:hAnsi="宋体"/>
          <w:sz w:val="24"/>
        </w:rPr>
      </w:pPr>
      <w:r>
        <w:rPr>
          <w:rFonts w:hint="eastAsia" w:ascii="宋体" w:hAnsi="宋体"/>
          <w:sz w:val="24"/>
        </w:rPr>
        <w:t>——法规标准（原件）。</w:t>
      </w:r>
    </w:p>
    <w:p>
      <w:pPr>
        <w:spacing w:line="360" w:lineRule="auto"/>
        <w:ind w:firstLine="480" w:firstLineChars="200"/>
        <w:rPr>
          <w:rFonts w:ascii="宋体" w:hAnsi="宋体"/>
          <w:sz w:val="24"/>
        </w:rPr>
      </w:pPr>
      <w:r>
        <w:rPr>
          <w:rFonts w:hint="eastAsia" w:ascii="宋体" w:hAnsi="宋体"/>
          <w:sz w:val="24"/>
        </w:rPr>
        <w:t>——人员名录、培训记录。</w:t>
      </w:r>
    </w:p>
    <w:p>
      <w:pPr>
        <w:spacing w:line="360" w:lineRule="auto"/>
        <w:ind w:firstLine="480" w:firstLineChars="200"/>
        <w:rPr>
          <w:rFonts w:ascii="宋体" w:hAnsi="宋体"/>
          <w:sz w:val="24"/>
        </w:rPr>
      </w:pPr>
      <w:r>
        <w:rPr>
          <w:rFonts w:hint="eastAsia" w:ascii="宋体" w:hAnsi="宋体"/>
          <w:sz w:val="24"/>
        </w:rPr>
        <w:t>在核准有效期内，检验与检测人员应当接受过不少于24学时/年的技术和质量管理知识培训。其中，技术负责人、质量负责人、内部审核人员和其他从事质量管理的人员应当熟悉质量管理,接受特种设备质量管理体系知识专门培训不少于16学时/年。</w:t>
      </w:r>
    </w:p>
    <w:p>
      <w:pPr>
        <w:spacing w:line="360" w:lineRule="auto"/>
        <w:ind w:firstLine="480" w:firstLineChars="200"/>
        <w:rPr>
          <w:rFonts w:ascii="宋体" w:hAnsi="宋体"/>
          <w:sz w:val="24"/>
        </w:rPr>
      </w:pPr>
      <w:r>
        <w:rPr>
          <w:rFonts w:hint="eastAsia" w:ascii="宋体" w:hAnsi="宋体"/>
          <w:sz w:val="24"/>
        </w:rPr>
        <w:t>——机构负责人、技术负责人、质量负责人、检验责任师、检验检测人员、专业技术人员的学历、技术职称、检验检测资格证书、注册证书等（原件）。</w:t>
      </w:r>
    </w:p>
    <w:p>
      <w:pPr>
        <w:spacing w:line="360" w:lineRule="auto"/>
        <w:ind w:firstLine="480" w:firstLineChars="200"/>
        <w:rPr>
          <w:rFonts w:ascii="宋体" w:hAnsi="宋体"/>
          <w:sz w:val="24"/>
        </w:rPr>
      </w:pPr>
      <w:r>
        <w:rPr>
          <w:rFonts w:hint="eastAsia" w:ascii="宋体" w:hAnsi="宋体"/>
          <w:sz w:val="24"/>
        </w:rPr>
        <w:t>——人员聘用合同等（原件）。</w:t>
      </w:r>
    </w:p>
    <w:p>
      <w:pPr>
        <w:spacing w:line="360" w:lineRule="auto"/>
        <w:ind w:firstLine="480" w:firstLineChars="200"/>
        <w:rPr>
          <w:rFonts w:ascii="宋体" w:hAnsi="宋体"/>
          <w:sz w:val="24"/>
        </w:rPr>
      </w:pPr>
      <w:r>
        <w:rPr>
          <w:rFonts w:hint="eastAsia" w:ascii="宋体" w:hAnsi="宋体"/>
          <w:sz w:val="24"/>
        </w:rPr>
        <w:t>——外委合同等（原件）。</w:t>
      </w:r>
    </w:p>
    <w:p>
      <w:pPr>
        <w:spacing w:line="360" w:lineRule="auto"/>
        <w:ind w:firstLine="480" w:firstLineChars="200"/>
        <w:rPr>
          <w:rFonts w:ascii="宋体" w:hAnsi="宋体"/>
          <w:sz w:val="24"/>
        </w:rPr>
      </w:pPr>
      <w:r>
        <w:rPr>
          <w:rFonts w:hint="eastAsia" w:ascii="宋体" w:hAnsi="宋体"/>
          <w:sz w:val="24"/>
        </w:rPr>
        <w:t>——检验业绩台账。</w:t>
      </w:r>
    </w:p>
    <w:p>
      <w:pPr>
        <w:spacing w:line="360" w:lineRule="auto"/>
        <w:ind w:firstLine="480" w:firstLineChars="200"/>
        <w:rPr>
          <w:rFonts w:ascii="宋体" w:hAnsi="宋体"/>
          <w:sz w:val="24"/>
        </w:rPr>
      </w:pPr>
      <w:r>
        <w:rPr>
          <w:rFonts w:hint="eastAsia" w:ascii="宋体" w:hAnsi="宋体"/>
          <w:sz w:val="24"/>
        </w:rPr>
        <w:t>——固定资产帐目，车辆及办公通信设施台帐，仪器设备（包括计算机）台帐、档案及租赁合同等。</w:t>
      </w:r>
    </w:p>
    <w:p>
      <w:pPr>
        <w:spacing w:line="360" w:lineRule="auto"/>
        <w:ind w:firstLine="480" w:firstLineChars="200"/>
        <w:rPr>
          <w:rFonts w:ascii="宋体" w:hAnsi="宋体"/>
          <w:sz w:val="24"/>
        </w:rPr>
      </w:pPr>
      <w:r>
        <w:rPr>
          <w:rFonts w:hint="eastAsia" w:ascii="宋体" w:hAnsi="宋体"/>
          <w:sz w:val="24"/>
        </w:rPr>
        <w:t>——土地使用证、房屋产权证、租赁合同等（原件）。</w:t>
      </w:r>
    </w:p>
    <w:p>
      <w:pPr>
        <w:spacing w:line="360" w:lineRule="auto"/>
        <w:ind w:firstLine="480" w:firstLineChars="200"/>
        <w:rPr>
          <w:rFonts w:ascii="宋体" w:hAnsi="宋体"/>
          <w:sz w:val="24"/>
        </w:rPr>
      </w:pPr>
      <w:r>
        <w:rPr>
          <w:rFonts w:hint="eastAsia" w:ascii="宋体" w:hAnsi="宋体"/>
          <w:sz w:val="24"/>
        </w:rPr>
        <w:t>4.3.4.1.2 需要查看的设备设施</w:t>
      </w:r>
    </w:p>
    <w:p>
      <w:pPr>
        <w:spacing w:line="360" w:lineRule="auto"/>
        <w:ind w:firstLine="480" w:firstLineChars="200"/>
        <w:rPr>
          <w:rFonts w:ascii="宋体" w:hAnsi="宋体"/>
          <w:sz w:val="24"/>
        </w:rPr>
      </w:pPr>
      <w:r>
        <w:rPr>
          <w:rFonts w:hint="eastAsia" w:ascii="宋体" w:hAnsi="宋体"/>
          <w:sz w:val="24"/>
        </w:rPr>
        <w:t>——检验仪器设备及状态（含标识）。</w:t>
      </w:r>
    </w:p>
    <w:p>
      <w:pPr>
        <w:spacing w:line="360" w:lineRule="auto"/>
        <w:ind w:firstLine="480" w:firstLineChars="200"/>
        <w:rPr>
          <w:rFonts w:ascii="宋体" w:hAnsi="宋体"/>
          <w:sz w:val="24"/>
        </w:rPr>
      </w:pPr>
      <w:r>
        <w:rPr>
          <w:rFonts w:hint="eastAsia" w:ascii="宋体" w:hAnsi="宋体"/>
          <w:sz w:val="24"/>
        </w:rPr>
        <w:t>——检验检测场地、关键场所。</w:t>
      </w:r>
    </w:p>
    <w:p>
      <w:pPr>
        <w:spacing w:line="360" w:lineRule="auto"/>
        <w:ind w:firstLine="480" w:firstLineChars="200"/>
        <w:rPr>
          <w:rFonts w:ascii="宋体" w:hAnsi="宋体"/>
          <w:sz w:val="24"/>
        </w:rPr>
      </w:pPr>
      <w:r>
        <w:rPr>
          <w:rFonts w:hint="eastAsia" w:ascii="宋体" w:hAnsi="宋体"/>
          <w:sz w:val="24"/>
        </w:rPr>
        <w:t>——办公场地（办公室、设备库、档案室、图书资料室等）。</w:t>
      </w:r>
    </w:p>
    <w:p>
      <w:pPr>
        <w:spacing w:line="360" w:lineRule="auto"/>
        <w:ind w:firstLine="480" w:firstLineChars="200"/>
        <w:rPr>
          <w:rFonts w:ascii="宋体" w:hAnsi="宋体"/>
          <w:sz w:val="24"/>
        </w:rPr>
      </w:pPr>
      <w:r>
        <w:rPr>
          <w:rFonts w:hint="eastAsia" w:ascii="宋体" w:hAnsi="宋体"/>
          <w:sz w:val="24"/>
        </w:rPr>
        <w:t>——办公设施（如计算机、网络、检验管理系统、信息化管理系统、办公系统等）。</w:t>
      </w:r>
    </w:p>
    <w:p>
      <w:pPr>
        <w:spacing w:line="360" w:lineRule="auto"/>
        <w:ind w:firstLine="480" w:firstLineChars="200"/>
        <w:rPr>
          <w:rFonts w:ascii="宋体" w:hAnsi="宋体"/>
          <w:sz w:val="24"/>
        </w:rPr>
      </w:pPr>
      <w:r>
        <w:rPr>
          <w:rFonts w:hint="eastAsia" w:ascii="宋体" w:hAnsi="宋体"/>
          <w:sz w:val="24"/>
        </w:rPr>
        <w:t>4.3.4.1.3 需要考核的人员</w:t>
      </w:r>
    </w:p>
    <w:p>
      <w:pPr>
        <w:spacing w:line="360" w:lineRule="auto"/>
        <w:ind w:firstLine="480" w:firstLineChars="200"/>
        <w:rPr>
          <w:rFonts w:ascii="宋体" w:hAnsi="宋体"/>
          <w:sz w:val="24"/>
        </w:rPr>
      </w:pPr>
      <w:r>
        <w:rPr>
          <w:rFonts w:hint="eastAsia" w:ascii="宋体" w:hAnsi="宋体"/>
          <w:sz w:val="24"/>
        </w:rPr>
        <w:t>通过座谈交流、现场跟踪、查阅相关见证记录等方式，对申请机构负责人、质量负责人、技术负责人、检验责任师、检验检测人员的能力进行考察、评价、确认。</w:t>
      </w:r>
    </w:p>
    <w:p>
      <w:pPr>
        <w:spacing w:line="360" w:lineRule="auto"/>
        <w:ind w:firstLine="480" w:firstLineChars="200"/>
        <w:rPr>
          <w:rFonts w:ascii="宋体" w:hAnsi="宋体"/>
          <w:sz w:val="24"/>
        </w:rPr>
      </w:pPr>
      <w:r>
        <w:rPr>
          <w:rFonts w:hint="eastAsia" w:ascii="宋体" w:hAnsi="宋体"/>
          <w:sz w:val="24"/>
        </w:rPr>
        <w:t>4.3.4.2 质量管理体系的评审</w:t>
      </w:r>
    </w:p>
    <w:p>
      <w:pPr>
        <w:spacing w:line="360" w:lineRule="auto"/>
        <w:ind w:firstLine="480" w:firstLineChars="200"/>
        <w:rPr>
          <w:rFonts w:ascii="宋体" w:hAnsi="宋体"/>
          <w:sz w:val="24"/>
        </w:rPr>
      </w:pPr>
      <w:r>
        <w:rPr>
          <w:rFonts w:hint="eastAsia" w:ascii="宋体" w:hAnsi="宋体"/>
          <w:sz w:val="24"/>
        </w:rPr>
        <w:t>质量管理体系方面依据核准规则，通过查阅质量手册、程序文件、管理制度、作业指导书，抽查实施见证记录以及与申请机构、当地特种设备安全监督管理部门代表交流等方式，对申请机构质量管理体系的建立、实施、保持和持续改进情况进行评审。</w:t>
      </w:r>
    </w:p>
    <w:p>
      <w:pPr>
        <w:spacing w:line="360" w:lineRule="auto"/>
        <w:ind w:firstLine="480" w:firstLineChars="200"/>
        <w:rPr>
          <w:rFonts w:ascii="宋体" w:hAnsi="宋体"/>
          <w:sz w:val="24"/>
        </w:rPr>
      </w:pPr>
      <w:r>
        <w:rPr>
          <w:rFonts w:hint="eastAsia" w:ascii="宋体" w:hAnsi="宋体"/>
          <w:sz w:val="24"/>
        </w:rPr>
        <w:t>包括质量管理体系基本要求、质量管理体系、管理职责、资源管理、检验实施、分析与改进、与政府、行业和客户关系等要素。</w:t>
      </w:r>
    </w:p>
    <w:p>
      <w:pPr>
        <w:spacing w:line="360" w:lineRule="auto"/>
        <w:ind w:firstLine="480" w:firstLineChars="200"/>
        <w:rPr>
          <w:rFonts w:ascii="宋体" w:hAnsi="宋体"/>
          <w:sz w:val="24"/>
        </w:rPr>
      </w:pPr>
      <w:r>
        <w:rPr>
          <w:rFonts w:hint="eastAsia" w:ascii="宋体" w:hAnsi="宋体"/>
          <w:sz w:val="24"/>
        </w:rPr>
        <w:t>4.3.4.3 检验工作能力的评审</w:t>
      </w:r>
    </w:p>
    <w:p>
      <w:pPr>
        <w:spacing w:line="360" w:lineRule="auto"/>
        <w:ind w:firstLine="480" w:firstLineChars="200"/>
        <w:rPr>
          <w:rFonts w:ascii="宋体" w:hAnsi="宋体"/>
          <w:sz w:val="24"/>
        </w:rPr>
      </w:pPr>
      <w:r>
        <w:rPr>
          <w:rFonts w:hint="eastAsia" w:ascii="宋体" w:hAnsi="宋体"/>
          <w:sz w:val="24"/>
        </w:rPr>
        <w:t>检验工作能力方面依据核准规则、相关法规及申请机构的作业指导文件等，通过查阅有关检验规程、检验作业指导书，抽查检验工作指令、原始记录与检验报告质量，检验实施过程的现场跟踪检查（跟踪检验过程），以及与有关人员交流等方式进行核查，采取报告评价或者采信能力验证结果等方式对申请机构相关检验能力进行评审。</w:t>
      </w:r>
    </w:p>
    <w:p>
      <w:pPr>
        <w:spacing w:line="360" w:lineRule="auto"/>
        <w:ind w:firstLine="480" w:firstLineChars="200"/>
        <w:rPr>
          <w:rFonts w:ascii="宋体" w:hAnsi="宋体"/>
          <w:sz w:val="24"/>
        </w:rPr>
      </w:pPr>
      <w:r>
        <w:rPr>
          <w:rFonts w:hint="eastAsia" w:ascii="宋体" w:hAnsi="宋体"/>
          <w:sz w:val="24"/>
        </w:rPr>
        <w:t>申请首次核准的，检验现场跟踪检查全过程，每个设备类别一台样机。</w:t>
      </w:r>
    </w:p>
    <w:p>
      <w:pPr>
        <w:spacing w:line="360" w:lineRule="auto"/>
        <w:ind w:firstLine="480" w:firstLineChars="200"/>
        <w:rPr>
          <w:rFonts w:ascii="宋体" w:hAnsi="宋体"/>
          <w:sz w:val="24"/>
        </w:rPr>
      </w:pPr>
      <w:r>
        <w:rPr>
          <w:rFonts w:hint="eastAsia" w:ascii="宋体" w:hAnsi="宋体"/>
          <w:sz w:val="24"/>
        </w:rPr>
        <w:t>申请延续核准的，在上一核准周期内，应当有相应检验项目的检验业绩。</w:t>
      </w:r>
    </w:p>
    <w:p>
      <w:pPr>
        <w:spacing w:line="360" w:lineRule="auto"/>
        <w:ind w:firstLine="480" w:firstLineChars="200"/>
        <w:rPr>
          <w:rFonts w:ascii="宋体" w:hAnsi="宋体"/>
          <w:sz w:val="24"/>
        </w:rPr>
      </w:pPr>
      <w:r>
        <w:rPr>
          <w:rFonts w:hint="eastAsia" w:ascii="宋体" w:hAnsi="宋体"/>
          <w:sz w:val="24"/>
        </w:rPr>
        <w:t>4.3.4.3.1 检验报告质量抽查</w:t>
      </w:r>
    </w:p>
    <w:p>
      <w:pPr>
        <w:spacing w:line="360" w:lineRule="auto"/>
        <w:ind w:firstLine="480" w:firstLineChars="200"/>
        <w:rPr>
          <w:rFonts w:ascii="宋体" w:hAnsi="宋体"/>
          <w:sz w:val="24"/>
        </w:rPr>
      </w:pPr>
      <w:r>
        <w:rPr>
          <w:rFonts w:hint="eastAsia" w:ascii="宋体" w:hAnsi="宋体"/>
          <w:sz w:val="24"/>
        </w:rPr>
        <w:t>鉴定评审前，申请机构根据体系文件要求，应自行整理好一定数量的检验报告及相应的记录备查。</w:t>
      </w:r>
    </w:p>
    <w:p>
      <w:pPr>
        <w:spacing w:line="360" w:lineRule="auto"/>
        <w:ind w:firstLine="480" w:firstLineChars="200"/>
        <w:rPr>
          <w:rFonts w:ascii="宋体" w:hAnsi="宋体"/>
          <w:sz w:val="24"/>
        </w:rPr>
      </w:pPr>
      <w:r>
        <w:rPr>
          <w:rFonts w:hint="eastAsia" w:ascii="宋体" w:hAnsi="宋体"/>
          <w:sz w:val="24"/>
        </w:rPr>
        <w:t>——延续核准：每一类特种设备检验报告不少于2份。</w:t>
      </w:r>
    </w:p>
    <w:p>
      <w:pPr>
        <w:spacing w:line="360" w:lineRule="auto"/>
        <w:ind w:firstLine="480" w:firstLineChars="200"/>
        <w:rPr>
          <w:rFonts w:ascii="宋体" w:hAnsi="宋体"/>
          <w:sz w:val="24"/>
        </w:rPr>
      </w:pPr>
      <w:r>
        <w:rPr>
          <w:rFonts w:hint="eastAsia" w:ascii="宋体" w:hAnsi="宋体"/>
          <w:sz w:val="24"/>
        </w:rPr>
        <w:t>——所抽取的检验报告应当覆盖所受理的检验项目。</w:t>
      </w:r>
    </w:p>
    <w:p>
      <w:pPr>
        <w:spacing w:line="360" w:lineRule="auto"/>
        <w:ind w:firstLine="480" w:firstLineChars="200"/>
        <w:rPr>
          <w:rFonts w:ascii="宋体" w:hAnsi="宋体"/>
          <w:sz w:val="24"/>
        </w:rPr>
      </w:pPr>
      <w:r>
        <w:rPr>
          <w:rFonts w:hint="eastAsia" w:ascii="宋体" w:hAnsi="宋体"/>
          <w:sz w:val="24"/>
        </w:rPr>
        <w:t>——凡涉及新颁布安全技术规范的项目，应尽可能抽查实施后，所出具的检验报告。</w:t>
      </w:r>
    </w:p>
    <w:p>
      <w:pPr>
        <w:spacing w:line="360" w:lineRule="auto"/>
        <w:ind w:firstLine="480" w:firstLineChars="200"/>
        <w:rPr>
          <w:rFonts w:ascii="宋体" w:hAnsi="宋体"/>
          <w:sz w:val="24"/>
        </w:rPr>
      </w:pPr>
      <w:r>
        <w:rPr>
          <w:rFonts w:hint="eastAsia" w:ascii="宋体" w:hAnsi="宋体"/>
          <w:sz w:val="24"/>
        </w:rPr>
        <w:t>——所抽查的检验报告尽量涉及不同的检验人员。</w:t>
      </w:r>
    </w:p>
    <w:p>
      <w:pPr>
        <w:spacing w:line="360" w:lineRule="auto"/>
        <w:ind w:firstLine="480" w:firstLineChars="200"/>
        <w:rPr>
          <w:rFonts w:ascii="宋体" w:hAnsi="宋体"/>
          <w:sz w:val="24"/>
        </w:rPr>
      </w:pPr>
      <w:r>
        <w:rPr>
          <w:rFonts w:hint="eastAsia" w:ascii="宋体" w:hAnsi="宋体"/>
          <w:sz w:val="24"/>
        </w:rPr>
        <w:t>——尽可能包括各种检验结论。</w:t>
      </w:r>
    </w:p>
    <w:p>
      <w:pPr>
        <w:spacing w:line="360" w:lineRule="auto"/>
        <w:ind w:firstLine="480" w:firstLineChars="200"/>
        <w:rPr>
          <w:rFonts w:ascii="宋体" w:hAnsi="宋体"/>
          <w:sz w:val="24"/>
        </w:rPr>
      </w:pPr>
      <w:r>
        <w:rPr>
          <w:rFonts w:hint="eastAsia" w:ascii="宋体" w:hAnsi="宋体"/>
          <w:sz w:val="24"/>
        </w:rPr>
        <w:t>——如果申请机构设置了分支机构，对现场抽查的分支机构，抽查的检验报告应覆盖总部授权的检验项目。</w:t>
      </w:r>
    </w:p>
    <w:p>
      <w:pPr>
        <w:spacing w:line="360" w:lineRule="auto"/>
        <w:ind w:firstLine="480" w:firstLineChars="200"/>
        <w:rPr>
          <w:rFonts w:ascii="宋体" w:hAnsi="宋体"/>
          <w:sz w:val="24"/>
        </w:rPr>
      </w:pPr>
      <w:r>
        <w:rPr>
          <w:rFonts w:hint="eastAsia" w:ascii="宋体" w:hAnsi="宋体"/>
          <w:sz w:val="24"/>
        </w:rPr>
        <w:t>评审组根据所抽取检验报告的情况，确定重点审查的检验报告。</w:t>
      </w:r>
    </w:p>
    <w:p>
      <w:pPr>
        <w:spacing w:line="360" w:lineRule="auto"/>
        <w:ind w:firstLine="480" w:firstLineChars="200"/>
        <w:rPr>
          <w:rFonts w:ascii="宋体" w:hAnsi="宋体"/>
          <w:sz w:val="24"/>
        </w:rPr>
      </w:pPr>
      <w:r>
        <w:rPr>
          <w:rFonts w:hint="eastAsia" w:ascii="宋体" w:hAnsi="宋体"/>
          <w:sz w:val="24"/>
        </w:rPr>
        <w:t xml:space="preserve">4.3.4.3.2 检验现场跟踪检查 </w:t>
      </w:r>
    </w:p>
    <w:p>
      <w:pPr>
        <w:spacing w:line="360" w:lineRule="auto"/>
        <w:ind w:firstLine="480" w:firstLineChars="200"/>
        <w:rPr>
          <w:rFonts w:ascii="宋体" w:hAnsi="宋体"/>
          <w:sz w:val="24"/>
        </w:rPr>
      </w:pPr>
      <w:r>
        <w:rPr>
          <w:rFonts w:hint="eastAsia" w:ascii="宋体" w:hAnsi="宋体"/>
          <w:sz w:val="24"/>
        </w:rPr>
        <w:t>检验现场跟踪检查可以全过程跟踪，也可以选取若干个有代表性的环节进行跟踪，重点关注检验人员的安全意识、环境监测、仪器设备操作、法规标准使用、检验方法、原始记录的填写等环节。</w:t>
      </w:r>
    </w:p>
    <w:p>
      <w:pPr>
        <w:spacing w:line="360" w:lineRule="auto"/>
        <w:ind w:firstLine="480" w:firstLineChars="200"/>
        <w:rPr>
          <w:rFonts w:ascii="宋体" w:hAnsi="宋体"/>
          <w:sz w:val="24"/>
        </w:rPr>
      </w:pPr>
      <w:r>
        <w:rPr>
          <w:rFonts w:hint="eastAsia" w:ascii="宋体" w:hAnsi="宋体"/>
          <w:sz w:val="24"/>
        </w:rPr>
        <w:t>——依据TSG Q7015《起重机械定期检验规则》规定，跟踪定期检验现场。</w:t>
      </w:r>
    </w:p>
    <w:p>
      <w:pPr>
        <w:spacing w:line="360" w:lineRule="auto"/>
        <w:ind w:firstLine="480" w:firstLineChars="200"/>
        <w:rPr>
          <w:rFonts w:ascii="宋体" w:hAnsi="宋体"/>
          <w:sz w:val="24"/>
        </w:rPr>
      </w:pPr>
      <w:r>
        <w:rPr>
          <w:rFonts w:hint="eastAsia" w:ascii="宋体" w:hAnsi="宋体"/>
          <w:sz w:val="24"/>
        </w:rPr>
        <w:t>4.3.4.4 交换意见</w:t>
      </w:r>
    </w:p>
    <w:p>
      <w:pPr>
        <w:spacing w:line="360" w:lineRule="auto"/>
        <w:ind w:firstLine="480" w:firstLineChars="200"/>
        <w:rPr>
          <w:rFonts w:ascii="宋体" w:hAnsi="宋体"/>
          <w:sz w:val="24"/>
        </w:rPr>
      </w:pPr>
      <w:r>
        <w:rPr>
          <w:rFonts w:hint="eastAsia" w:ascii="宋体" w:hAnsi="宋体"/>
          <w:sz w:val="24"/>
        </w:rPr>
        <w:t>评审组情况汇总后，评审组成员、特种设备安全监督管理部门代表和申请机构负责人交流评审工作情况。</w:t>
      </w:r>
    </w:p>
    <w:p>
      <w:pPr>
        <w:spacing w:line="360" w:lineRule="auto"/>
        <w:ind w:firstLine="480" w:firstLineChars="200"/>
        <w:rPr>
          <w:rFonts w:ascii="宋体" w:hAnsi="宋体"/>
          <w:sz w:val="24"/>
        </w:rPr>
      </w:pPr>
      <w:r>
        <w:rPr>
          <w:rFonts w:hint="eastAsia" w:ascii="宋体" w:hAnsi="宋体"/>
          <w:sz w:val="24"/>
        </w:rPr>
        <w:t>评审组长主持交流会议，评审员简要介绍评审情况，并逐项说明存在的问题，就这些问题应征询申请机构的意见。取得一致意见后，评审组长与申请机构负责人签署《特种设备鉴定评审工作备忘录》（一式三份，评审组长、申请机构、特种设备安全监督管理部门代表各执一份）。若申请机构拒绝签署《特种设备鉴定评审工作备忘录》，评审组长应要求申请机构书面陈述理由，并加盖申请机构印章(公章)后由评审组长带回。</w:t>
      </w:r>
    </w:p>
    <w:p>
      <w:pPr>
        <w:spacing w:line="360" w:lineRule="auto"/>
        <w:ind w:firstLine="480" w:firstLineChars="200"/>
        <w:rPr>
          <w:rFonts w:ascii="宋体" w:hAnsi="宋体"/>
          <w:sz w:val="24"/>
        </w:rPr>
      </w:pPr>
      <w:r>
        <w:rPr>
          <w:rFonts w:hint="eastAsia" w:ascii="宋体" w:hAnsi="宋体"/>
          <w:sz w:val="24"/>
        </w:rPr>
        <w:t>4.3.4.5 总结会议</w:t>
      </w:r>
    </w:p>
    <w:p>
      <w:pPr>
        <w:spacing w:line="360" w:lineRule="auto"/>
        <w:ind w:firstLine="480" w:firstLineChars="200"/>
        <w:rPr>
          <w:rFonts w:ascii="宋体" w:hAnsi="宋体"/>
          <w:sz w:val="24"/>
        </w:rPr>
      </w:pPr>
      <w:r>
        <w:rPr>
          <w:rFonts w:hint="eastAsia" w:ascii="宋体" w:hAnsi="宋体"/>
          <w:sz w:val="24"/>
        </w:rPr>
        <w:t>由评审组长主持，评审组全体成员、特种设备安全监督管理部门代表、申请机构有关人员参加。</w:t>
      </w:r>
    </w:p>
    <w:p>
      <w:pPr>
        <w:spacing w:line="360" w:lineRule="auto"/>
        <w:ind w:firstLine="480" w:firstLineChars="200"/>
        <w:rPr>
          <w:rFonts w:ascii="宋体" w:hAnsi="宋体"/>
          <w:sz w:val="24"/>
        </w:rPr>
      </w:pPr>
      <w:r>
        <w:rPr>
          <w:rFonts w:hint="eastAsia" w:ascii="宋体" w:hAnsi="宋体"/>
          <w:sz w:val="24"/>
        </w:rPr>
        <w:t>与会人员应当在《总结会议签到表》上签名。会议一般包括下述内容：</w:t>
      </w:r>
    </w:p>
    <w:p>
      <w:pPr>
        <w:spacing w:line="360" w:lineRule="auto"/>
        <w:ind w:firstLine="480" w:firstLineChars="200"/>
        <w:rPr>
          <w:rFonts w:ascii="宋体" w:hAnsi="宋体"/>
          <w:sz w:val="24"/>
        </w:rPr>
      </w:pPr>
      <w:r>
        <w:rPr>
          <w:rFonts w:hint="eastAsia" w:ascii="宋体" w:hAnsi="宋体"/>
          <w:sz w:val="24"/>
        </w:rPr>
        <w:t>——评审组长对现场鉴定评审工作做概要总结。</w:t>
      </w:r>
    </w:p>
    <w:p>
      <w:pPr>
        <w:spacing w:line="360" w:lineRule="auto"/>
        <w:ind w:firstLine="480" w:firstLineChars="200"/>
        <w:rPr>
          <w:rFonts w:ascii="宋体" w:hAnsi="宋体"/>
          <w:sz w:val="24"/>
        </w:rPr>
      </w:pPr>
      <w:r>
        <w:rPr>
          <w:rFonts w:hint="eastAsia" w:ascii="宋体" w:hAnsi="宋体"/>
          <w:sz w:val="24"/>
        </w:rPr>
        <w:t>——评审员点评评审情况。</w:t>
      </w:r>
    </w:p>
    <w:p>
      <w:pPr>
        <w:spacing w:line="360" w:lineRule="auto"/>
        <w:ind w:firstLine="480" w:firstLineChars="200"/>
        <w:rPr>
          <w:rFonts w:ascii="宋体" w:hAnsi="宋体"/>
          <w:sz w:val="24"/>
        </w:rPr>
      </w:pPr>
      <w:r>
        <w:rPr>
          <w:rFonts w:hint="eastAsia" w:ascii="宋体" w:hAnsi="宋体"/>
          <w:sz w:val="24"/>
        </w:rPr>
        <w:t>——评审组长宣读现场鉴定评审结论（符合条件、需要整改、不符合条件）、《特种设备鉴定评审工作备忘录》及特种设备检验检测核准项目。</w:t>
      </w:r>
    </w:p>
    <w:p>
      <w:pPr>
        <w:spacing w:line="360" w:lineRule="auto"/>
        <w:ind w:firstLine="480" w:firstLineChars="200"/>
        <w:rPr>
          <w:rFonts w:ascii="宋体" w:hAnsi="宋体"/>
          <w:sz w:val="24"/>
        </w:rPr>
      </w:pPr>
      <w:r>
        <w:rPr>
          <w:rFonts w:hint="eastAsia" w:ascii="宋体" w:hAnsi="宋体"/>
          <w:sz w:val="24"/>
        </w:rPr>
        <w:t>——评审组长说明因鉴定评审的局限性、时限性而可能带来的风险，告知申请机构申诉、投诉的权利。再次声明评审组在客观、公正、保密等方面的承诺，并告知申请机构的整改项目、整改期限、整改方式。</w:t>
      </w:r>
    </w:p>
    <w:p>
      <w:pPr>
        <w:spacing w:line="360" w:lineRule="auto"/>
        <w:ind w:firstLine="480" w:firstLineChars="200"/>
        <w:rPr>
          <w:rFonts w:ascii="宋体" w:hAnsi="宋体"/>
          <w:sz w:val="24"/>
        </w:rPr>
      </w:pPr>
      <w:r>
        <w:rPr>
          <w:rFonts w:hint="eastAsia" w:ascii="宋体" w:hAnsi="宋体"/>
          <w:sz w:val="24"/>
        </w:rPr>
        <w:t xml:space="preserve">——特种设备安全监督管理部门代表讲话。 </w:t>
      </w:r>
    </w:p>
    <w:p>
      <w:pPr>
        <w:spacing w:line="360" w:lineRule="auto"/>
        <w:ind w:firstLine="480" w:firstLineChars="200"/>
        <w:rPr>
          <w:rFonts w:ascii="宋体" w:hAnsi="宋体"/>
          <w:sz w:val="24"/>
        </w:rPr>
      </w:pPr>
      <w:r>
        <w:rPr>
          <w:rFonts w:hint="eastAsia" w:ascii="宋体" w:hAnsi="宋体"/>
          <w:sz w:val="24"/>
        </w:rPr>
        <w:t>——申请机构主要负责人讲话。</w:t>
      </w:r>
    </w:p>
    <w:p>
      <w:pPr>
        <w:spacing w:line="360" w:lineRule="auto"/>
        <w:ind w:firstLine="480" w:firstLineChars="200"/>
        <w:rPr>
          <w:rFonts w:ascii="宋体" w:hAnsi="宋体"/>
          <w:sz w:val="24"/>
        </w:rPr>
      </w:pPr>
      <w:r>
        <w:rPr>
          <w:rFonts w:hint="eastAsia" w:ascii="宋体" w:hAnsi="宋体"/>
          <w:sz w:val="24"/>
        </w:rPr>
        <w:t xml:space="preserve">4.4 整改确认 </w:t>
      </w:r>
    </w:p>
    <w:p>
      <w:pPr>
        <w:spacing w:line="360" w:lineRule="auto"/>
        <w:ind w:firstLine="480" w:firstLineChars="200"/>
        <w:rPr>
          <w:rFonts w:ascii="宋体" w:hAnsi="宋体"/>
          <w:sz w:val="24"/>
        </w:rPr>
      </w:pPr>
      <w:r>
        <w:rPr>
          <w:rFonts w:hint="eastAsia" w:ascii="宋体" w:hAnsi="宋体"/>
          <w:sz w:val="24"/>
        </w:rPr>
        <w:t>申请机构应当依据《特种设备鉴定评审工作备忘录》规定期限，按照《评审指南》整改报告格式和整改报告编制要求在规定的期限内完成整改工作。</w:t>
      </w:r>
    </w:p>
    <w:p>
      <w:pPr>
        <w:spacing w:line="360" w:lineRule="auto"/>
        <w:ind w:firstLine="480" w:firstLineChars="200"/>
        <w:rPr>
          <w:rFonts w:ascii="宋体" w:hAnsi="宋体"/>
          <w:sz w:val="24"/>
        </w:rPr>
      </w:pPr>
      <w:r>
        <w:rPr>
          <w:rFonts w:hint="eastAsia" w:ascii="宋体" w:hAnsi="宋体"/>
          <w:sz w:val="24"/>
        </w:rPr>
        <w:t>整改时间不得超过6个月，且鉴定评审工作(含整改时间)应当自受理决定书签发之日起1年内完成。如果未及时提交整改报告或整改后仍不符合规定的，评审结论为“不符合条件”。</w:t>
      </w:r>
    </w:p>
    <w:p>
      <w:pPr>
        <w:tabs>
          <w:tab w:val="left" w:pos="2490"/>
        </w:tabs>
        <w:spacing w:line="480" w:lineRule="auto"/>
        <w:outlineLvl w:val="0"/>
        <w:rPr>
          <w:rFonts w:ascii="宋体" w:hAnsi="宋体" w:cs="黑体"/>
          <w:b/>
          <w:sz w:val="24"/>
        </w:rPr>
      </w:pPr>
      <w:r>
        <w:rPr>
          <w:rFonts w:hint="eastAsia" w:ascii="宋体" w:hAnsi="宋体" w:cs="黑体"/>
          <w:b/>
          <w:sz w:val="24"/>
        </w:rPr>
        <w:t>5  迎审准备</w:t>
      </w:r>
    </w:p>
    <w:p>
      <w:pPr>
        <w:spacing w:line="360" w:lineRule="auto"/>
        <w:ind w:firstLine="480" w:firstLineChars="200"/>
        <w:rPr>
          <w:rFonts w:ascii="宋体" w:hAnsi="宋体"/>
          <w:sz w:val="24"/>
        </w:rPr>
      </w:pPr>
      <w:r>
        <w:rPr>
          <w:rFonts w:hint="eastAsia" w:ascii="宋体" w:hAnsi="宋体"/>
          <w:sz w:val="24"/>
        </w:rPr>
        <w:t>5.1 资源条件</w:t>
      </w:r>
    </w:p>
    <w:p>
      <w:pPr>
        <w:spacing w:line="360" w:lineRule="auto"/>
        <w:ind w:firstLine="480" w:firstLineChars="200"/>
        <w:rPr>
          <w:rFonts w:ascii="宋体" w:hAnsi="宋体"/>
          <w:sz w:val="24"/>
        </w:rPr>
      </w:pPr>
      <w:r>
        <w:rPr>
          <w:rFonts w:hint="eastAsia" w:ascii="宋体" w:hAnsi="宋体"/>
          <w:sz w:val="24"/>
        </w:rPr>
        <w:t>5.1.1 人员</w:t>
      </w:r>
    </w:p>
    <w:p>
      <w:pPr>
        <w:spacing w:line="360" w:lineRule="auto"/>
        <w:ind w:firstLine="480" w:firstLineChars="200"/>
        <w:rPr>
          <w:rFonts w:ascii="宋体" w:hAnsi="宋体"/>
          <w:sz w:val="24"/>
        </w:rPr>
      </w:pPr>
      <w:r>
        <w:rPr>
          <w:rFonts w:hint="eastAsia" w:ascii="宋体" w:hAnsi="宋体"/>
          <w:sz w:val="24"/>
        </w:rPr>
        <w:t>5.1.1.1 关键岗位人员</w:t>
      </w:r>
    </w:p>
    <w:p>
      <w:pPr>
        <w:spacing w:line="360" w:lineRule="auto"/>
        <w:ind w:firstLine="480" w:firstLineChars="200"/>
        <w:rPr>
          <w:rFonts w:ascii="宋体" w:hAnsi="宋体"/>
          <w:sz w:val="24"/>
        </w:rPr>
      </w:pPr>
      <w:r>
        <w:rPr>
          <w:rFonts w:hint="eastAsia" w:ascii="宋体" w:hAnsi="宋体"/>
          <w:sz w:val="24"/>
        </w:rPr>
        <w:t>(1)技术负责人，熟悉特种设备的有关法律、法规、规章、安全技术规范及相关标准和检验业务，有岗位需要的业务水平和组织能力，具有起重机械检验师资格不少于8年；申请甲类检验机构B2级的，应当有起重机械检验员资格不少于4年或者起重机械检验师资格；</w:t>
      </w:r>
    </w:p>
    <w:p>
      <w:pPr>
        <w:spacing w:line="360" w:lineRule="auto"/>
        <w:ind w:firstLine="480" w:firstLineChars="200"/>
        <w:rPr>
          <w:rFonts w:ascii="宋体" w:hAnsi="宋体"/>
          <w:sz w:val="24"/>
        </w:rPr>
      </w:pPr>
      <w:r>
        <w:rPr>
          <w:rFonts w:hint="eastAsia" w:ascii="宋体" w:hAnsi="宋体"/>
          <w:sz w:val="24"/>
        </w:rPr>
        <w:t>(2)质量负责人，熟悉质量管理工作，有岗位需要的业务水平和组织能力，具有起重机械检验师资格不少于4年；申请甲类检验机构B2级的，应当有起重机械检验员资格不少于4年或起重机械检验师资格；</w:t>
      </w:r>
    </w:p>
    <w:p>
      <w:pPr>
        <w:spacing w:line="360" w:lineRule="auto"/>
        <w:ind w:firstLine="480" w:firstLineChars="200"/>
        <w:rPr>
          <w:rFonts w:ascii="宋体" w:hAnsi="宋体"/>
          <w:sz w:val="24"/>
        </w:rPr>
      </w:pPr>
      <w:r>
        <w:rPr>
          <w:rFonts w:hint="eastAsia" w:ascii="宋体" w:hAnsi="宋体"/>
          <w:sz w:val="24"/>
        </w:rPr>
        <w:t>(3)责任师，熟悉特种设备的法律、法规、规章、安全技术规范及相关标准和检验业务，有岗位需要的业务水平和组织能力，具有起重机械检验师资格不少于4年；申请甲类检验机构B2级的，应当有起重机械检验员资格不少于4年或者起重机械检验师资格。</w:t>
      </w:r>
    </w:p>
    <w:p>
      <w:pPr>
        <w:spacing w:line="360" w:lineRule="auto"/>
        <w:ind w:firstLine="480" w:firstLineChars="200"/>
        <w:rPr>
          <w:rFonts w:ascii="宋体" w:hAnsi="宋体"/>
          <w:sz w:val="24"/>
        </w:rPr>
      </w:pPr>
      <w:r>
        <w:rPr>
          <w:rFonts w:hint="eastAsia" w:ascii="宋体" w:hAnsi="宋体"/>
          <w:sz w:val="24"/>
        </w:rPr>
        <w:t>技术负责人、质量负责人不得兼任责任师。</w:t>
      </w:r>
    </w:p>
    <w:p>
      <w:pPr>
        <w:spacing w:line="360" w:lineRule="auto"/>
        <w:ind w:firstLine="480" w:firstLineChars="200"/>
        <w:rPr>
          <w:rFonts w:ascii="宋体" w:hAnsi="宋体"/>
          <w:sz w:val="24"/>
        </w:rPr>
      </w:pPr>
      <w:r>
        <w:rPr>
          <w:rFonts w:hint="eastAsia" w:ascii="宋体" w:hAnsi="宋体"/>
          <w:sz w:val="24"/>
        </w:rPr>
        <w:t>5.1.1.2 检验与检测人员</w:t>
      </w:r>
    </w:p>
    <w:p>
      <w:pPr>
        <w:spacing w:line="360" w:lineRule="auto"/>
        <w:ind w:firstLine="480" w:firstLineChars="200"/>
        <w:rPr>
          <w:rFonts w:ascii="宋体" w:hAnsi="宋体"/>
          <w:sz w:val="24"/>
        </w:rPr>
      </w:pPr>
      <w:r>
        <w:rPr>
          <w:rFonts w:hint="eastAsia" w:ascii="宋体" w:hAnsi="宋体"/>
          <w:sz w:val="24"/>
        </w:rPr>
        <w:t>满足相应类别检验机构专项条件中检验与检测人员的要求，并且满足申请核准项目对应的人员配备要求，这些人员应当为检验机构的全职工作人员。</w:t>
      </w:r>
    </w:p>
    <w:p>
      <w:pPr>
        <w:spacing w:line="360" w:lineRule="auto"/>
        <w:ind w:firstLine="480" w:firstLineChars="200"/>
        <w:rPr>
          <w:rFonts w:ascii="宋体" w:hAnsi="宋体"/>
          <w:sz w:val="24"/>
        </w:rPr>
      </w:pPr>
      <w:r>
        <w:rPr>
          <w:rFonts w:hint="eastAsia" w:ascii="宋体" w:hAnsi="宋体"/>
          <w:sz w:val="24"/>
        </w:rPr>
        <w:t>依据核准规则附录db甲类检验机构定期检验项目人员要求，核准项目代码QD2、QD3对应的检验与检测人员配备见下表：</w:t>
      </w:r>
    </w:p>
    <w:tbl>
      <w:tblPr>
        <w:tblStyle w:val="16"/>
        <w:tblW w:w="94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843"/>
        <w:gridCol w:w="66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blHeader/>
        </w:trPr>
        <w:tc>
          <w:tcPr>
            <w:tcW w:w="936" w:type="dxa"/>
            <w:vAlign w:val="center"/>
          </w:tcPr>
          <w:p>
            <w:pPr>
              <w:adjustRightInd w:val="0"/>
              <w:snapToGrid w:val="0"/>
              <w:spacing w:line="320" w:lineRule="exact"/>
              <w:jc w:val="center"/>
              <w:rPr>
                <w:rFonts w:asciiTheme="minorEastAsia" w:hAnsiTheme="minorEastAsia" w:eastAsiaTheme="minorEastAsia"/>
                <w:sz w:val="24"/>
              </w:rPr>
            </w:pPr>
            <w:r>
              <w:rPr>
                <w:rFonts w:asciiTheme="minorEastAsia" w:hAnsiTheme="minorEastAsia" w:eastAsiaTheme="minorEastAsia"/>
                <w:sz w:val="24"/>
              </w:rPr>
              <w:t>序号</w:t>
            </w:r>
          </w:p>
        </w:tc>
        <w:tc>
          <w:tcPr>
            <w:tcW w:w="1843" w:type="dxa"/>
            <w:vAlign w:val="center"/>
          </w:tcPr>
          <w:p>
            <w:pPr>
              <w:adjustRightInd w:val="0"/>
              <w:snapToGrid w:val="0"/>
              <w:spacing w:line="320" w:lineRule="exact"/>
              <w:jc w:val="center"/>
              <w:rPr>
                <w:rFonts w:asciiTheme="minorEastAsia" w:hAnsiTheme="minorEastAsia" w:eastAsiaTheme="minorEastAsia"/>
                <w:sz w:val="24"/>
              </w:rPr>
            </w:pPr>
            <w:r>
              <w:rPr>
                <w:rFonts w:asciiTheme="minorEastAsia" w:hAnsiTheme="minorEastAsia" w:eastAsiaTheme="minorEastAsia"/>
                <w:sz w:val="24"/>
              </w:rPr>
              <w:t>核准项目代码</w:t>
            </w:r>
          </w:p>
        </w:tc>
        <w:tc>
          <w:tcPr>
            <w:tcW w:w="6666" w:type="dxa"/>
            <w:vAlign w:val="center"/>
          </w:tcPr>
          <w:p>
            <w:pPr>
              <w:adjustRightInd w:val="0"/>
              <w:snapToGrid w:val="0"/>
              <w:spacing w:line="320" w:lineRule="exact"/>
              <w:jc w:val="center"/>
              <w:rPr>
                <w:rFonts w:asciiTheme="minorEastAsia" w:hAnsiTheme="minorEastAsia" w:eastAsiaTheme="minorEastAsia"/>
                <w:sz w:val="24"/>
              </w:rPr>
            </w:pPr>
            <w:r>
              <w:rPr>
                <w:rFonts w:asciiTheme="minorEastAsia" w:hAnsiTheme="minorEastAsia" w:eastAsiaTheme="minorEastAsia"/>
                <w:sz w:val="24"/>
              </w:rPr>
              <w:t>人员配</w:t>
            </w:r>
            <w:r>
              <w:rPr>
                <w:rFonts w:hint="eastAsia" w:asciiTheme="minorEastAsia" w:hAnsiTheme="minorEastAsia" w:eastAsiaTheme="minorEastAsia"/>
                <w:sz w:val="24"/>
              </w:rPr>
              <w:t>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1</w:t>
            </w:r>
          </w:p>
        </w:tc>
        <w:tc>
          <w:tcPr>
            <w:tcW w:w="1843"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QD2</w:t>
            </w:r>
          </w:p>
        </w:tc>
        <w:tc>
          <w:tcPr>
            <w:tcW w:w="6666" w:type="dxa"/>
            <w:vAlign w:val="center"/>
          </w:tcPr>
          <w:p>
            <w:pPr>
              <w:adjustRightInd w:val="0"/>
              <w:snapToGrid w:val="0"/>
              <w:spacing w:line="320" w:lineRule="exact"/>
              <w:rPr>
                <w:rFonts w:asciiTheme="minorEastAsia" w:hAnsiTheme="minorEastAsia" w:eastAsiaTheme="minorEastAsia"/>
                <w:bCs/>
                <w:spacing w:val="4"/>
                <w:sz w:val="24"/>
              </w:rPr>
            </w:pPr>
            <w:r>
              <w:rPr>
                <w:rFonts w:asciiTheme="minorEastAsia" w:hAnsiTheme="minorEastAsia" w:eastAsiaTheme="minorEastAsia"/>
                <w:bCs/>
                <w:spacing w:val="4"/>
                <w:sz w:val="24"/>
              </w:rPr>
              <w:t>1. 起重机械检验师4名，其中</w:t>
            </w:r>
            <w:r>
              <w:rPr>
                <w:rFonts w:asciiTheme="minorEastAsia" w:hAnsiTheme="minorEastAsia" w:eastAsiaTheme="minorEastAsia"/>
                <w:sz w:val="24"/>
              </w:rPr>
              <w:t>具有</w:t>
            </w:r>
            <w:r>
              <w:rPr>
                <w:rFonts w:hint="eastAsia" w:asciiTheme="minorEastAsia" w:hAnsiTheme="minorEastAsia" w:eastAsiaTheme="minorEastAsia"/>
                <w:bCs/>
                <w:spacing w:val="4"/>
                <w:sz w:val="24"/>
              </w:rPr>
              <w:t>机械类、电气类</w:t>
            </w:r>
            <w:r>
              <w:rPr>
                <w:rFonts w:asciiTheme="minorEastAsia" w:hAnsiTheme="minorEastAsia" w:eastAsiaTheme="minorEastAsia"/>
                <w:sz w:val="24"/>
              </w:rPr>
              <w:t>专业教育背景的</w:t>
            </w:r>
            <w:r>
              <w:rPr>
                <w:rFonts w:asciiTheme="minorEastAsia" w:hAnsiTheme="minorEastAsia" w:eastAsiaTheme="minorEastAsia"/>
                <w:bCs/>
                <w:spacing w:val="4"/>
                <w:sz w:val="24"/>
              </w:rPr>
              <w:t xml:space="preserve">专业技术人员不少于1名； </w:t>
            </w:r>
          </w:p>
          <w:p>
            <w:pPr>
              <w:adjustRightInd w:val="0"/>
              <w:snapToGrid w:val="0"/>
              <w:spacing w:line="320" w:lineRule="exact"/>
              <w:rPr>
                <w:rFonts w:asciiTheme="minorEastAsia" w:hAnsiTheme="minorEastAsia" w:eastAsiaTheme="minorEastAsia"/>
                <w:bCs/>
                <w:spacing w:val="4"/>
                <w:sz w:val="24"/>
              </w:rPr>
            </w:pPr>
            <w:r>
              <w:rPr>
                <w:rFonts w:asciiTheme="minorEastAsia" w:hAnsiTheme="minorEastAsia" w:eastAsiaTheme="minorEastAsia"/>
                <w:bCs/>
                <w:spacing w:val="4"/>
                <w:sz w:val="24"/>
              </w:rPr>
              <w:t>2. 起重机械检验员8名；</w:t>
            </w:r>
          </w:p>
          <w:p>
            <w:pPr>
              <w:adjustRightInd w:val="0"/>
              <w:snapToGrid w:val="0"/>
              <w:spacing w:line="320" w:lineRule="exact"/>
              <w:rPr>
                <w:rFonts w:asciiTheme="minorEastAsia" w:hAnsiTheme="minorEastAsia" w:eastAsiaTheme="minorEastAsia"/>
                <w:bCs/>
                <w:spacing w:val="4"/>
                <w:sz w:val="24"/>
              </w:rPr>
            </w:pPr>
            <w:r>
              <w:rPr>
                <w:rFonts w:asciiTheme="minorEastAsia" w:hAnsiTheme="minorEastAsia" w:eastAsiaTheme="minorEastAsia"/>
                <w:bCs/>
                <w:spacing w:val="4"/>
                <w:sz w:val="24"/>
              </w:rPr>
              <w:t>3. Ⅱ级UT、MT</w:t>
            </w:r>
            <w:r>
              <w:rPr>
                <w:rFonts w:hint="eastAsia" w:asciiTheme="minorEastAsia" w:hAnsiTheme="minorEastAsia" w:eastAsiaTheme="minorEastAsia"/>
                <w:bCs/>
                <w:spacing w:val="4"/>
                <w:sz w:val="24"/>
              </w:rPr>
              <w:t>或者</w:t>
            </w:r>
            <w:r>
              <w:rPr>
                <w:rFonts w:asciiTheme="minorEastAsia" w:hAnsiTheme="minorEastAsia" w:eastAsiaTheme="minorEastAsia"/>
                <w:bCs/>
                <w:spacing w:val="4"/>
                <w:sz w:val="24"/>
              </w:rPr>
              <w:t>PT无损检测人员各2人项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2</w:t>
            </w:r>
          </w:p>
        </w:tc>
        <w:tc>
          <w:tcPr>
            <w:tcW w:w="1843"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QD3</w:t>
            </w:r>
          </w:p>
        </w:tc>
        <w:tc>
          <w:tcPr>
            <w:tcW w:w="6666" w:type="dxa"/>
            <w:vAlign w:val="center"/>
          </w:tcPr>
          <w:p>
            <w:pPr>
              <w:adjustRightInd w:val="0"/>
              <w:snapToGrid w:val="0"/>
              <w:spacing w:line="320" w:lineRule="exact"/>
              <w:rPr>
                <w:rFonts w:asciiTheme="minorEastAsia" w:hAnsiTheme="minorEastAsia" w:eastAsiaTheme="minorEastAsia"/>
                <w:bCs/>
                <w:spacing w:val="4"/>
                <w:sz w:val="24"/>
              </w:rPr>
            </w:pPr>
            <w:r>
              <w:rPr>
                <w:rFonts w:asciiTheme="minorEastAsia" w:hAnsiTheme="minorEastAsia" w:eastAsiaTheme="minorEastAsia"/>
                <w:bCs/>
                <w:spacing w:val="4"/>
                <w:sz w:val="24"/>
              </w:rPr>
              <w:t>1. 起重机械检验师2名</w:t>
            </w:r>
            <w:r>
              <w:rPr>
                <w:rFonts w:hint="eastAsia" w:asciiTheme="minorEastAsia" w:hAnsiTheme="minorEastAsia" w:eastAsiaTheme="minorEastAsia"/>
                <w:bCs/>
                <w:spacing w:val="4"/>
                <w:sz w:val="24"/>
              </w:rPr>
              <w:t>；</w:t>
            </w:r>
            <w:r>
              <w:rPr>
                <w:rFonts w:asciiTheme="minorEastAsia" w:hAnsiTheme="minorEastAsia" w:eastAsiaTheme="minorEastAsia"/>
                <w:bCs/>
                <w:spacing w:val="4"/>
                <w:sz w:val="24"/>
              </w:rPr>
              <w:t xml:space="preserve"> </w:t>
            </w:r>
          </w:p>
          <w:p>
            <w:pPr>
              <w:adjustRightInd w:val="0"/>
              <w:snapToGrid w:val="0"/>
              <w:spacing w:line="320" w:lineRule="exact"/>
              <w:rPr>
                <w:rFonts w:asciiTheme="minorEastAsia" w:hAnsiTheme="minorEastAsia" w:eastAsiaTheme="minorEastAsia"/>
                <w:bCs/>
                <w:spacing w:val="4"/>
                <w:sz w:val="24"/>
              </w:rPr>
            </w:pPr>
            <w:r>
              <w:rPr>
                <w:rFonts w:asciiTheme="minorEastAsia" w:hAnsiTheme="minorEastAsia" w:eastAsiaTheme="minorEastAsia"/>
                <w:bCs/>
                <w:spacing w:val="4"/>
                <w:sz w:val="24"/>
              </w:rPr>
              <w:t>2. 起重机械检验员6名；</w:t>
            </w:r>
          </w:p>
          <w:p>
            <w:pPr>
              <w:adjustRightInd w:val="0"/>
              <w:snapToGrid w:val="0"/>
              <w:spacing w:line="320" w:lineRule="exact"/>
              <w:rPr>
                <w:rFonts w:asciiTheme="minorEastAsia" w:hAnsiTheme="minorEastAsia" w:eastAsiaTheme="minorEastAsia"/>
                <w:bCs/>
                <w:spacing w:val="4"/>
                <w:sz w:val="24"/>
              </w:rPr>
            </w:pPr>
            <w:r>
              <w:rPr>
                <w:rFonts w:asciiTheme="minorEastAsia" w:hAnsiTheme="minorEastAsia" w:eastAsiaTheme="minorEastAsia"/>
                <w:bCs/>
                <w:spacing w:val="4"/>
                <w:sz w:val="24"/>
              </w:rPr>
              <w:t>3. Ⅱ级UT、MT</w:t>
            </w:r>
            <w:r>
              <w:rPr>
                <w:rFonts w:hint="eastAsia" w:asciiTheme="minorEastAsia" w:hAnsiTheme="minorEastAsia" w:eastAsiaTheme="minorEastAsia"/>
                <w:bCs/>
                <w:spacing w:val="4"/>
                <w:sz w:val="24"/>
              </w:rPr>
              <w:t>或者</w:t>
            </w:r>
            <w:r>
              <w:rPr>
                <w:rFonts w:asciiTheme="minorEastAsia" w:hAnsiTheme="minorEastAsia" w:eastAsiaTheme="minorEastAsia"/>
                <w:bCs/>
                <w:spacing w:val="4"/>
                <w:sz w:val="24"/>
              </w:rPr>
              <w:t>PT无损检测人员各2人项</w:t>
            </w:r>
          </w:p>
        </w:tc>
      </w:tr>
    </w:tbl>
    <w:p>
      <w:pPr>
        <w:spacing w:line="360" w:lineRule="auto"/>
        <w:ind w:firstLine="480" w:firstLineChars="200"/>
        <w:rPr>
          <w:rFonts w:ascii="宋体" w:hAnsi="宋体"/>
          <w:sz w:val="24"/>
        </w:rPr>
      </w:pPr>
      <w:r>
        <w:rPr>
          <w:rFonts w:hint="eastAsia" w:ascii="宋体" w:hAnsi="宋体"/>
          <w:sz w:val="24"/>
        </w:rPr>
        <w:t>5.1.2 检验设备</w:t>
      </w:r>
    </w:p>
    <w:p>
      <w:pPr>
        <w:spacing w:line="360" w:lineRule="auto"/>
        <w:ind w:firstLine="480" w:firstLineChars="200"/>
        <w:rPr>
          <w:rFonts w:ascii="宋体" w:hAnsi="宋体"/>
          <w:sz w:val="24"/>
        </w:rPr>
      </w:pPr>
      <w:r>
        <w:rPr>
          <w:rFonts w:hint="eastAsia" w:ascii="宋体" w:hAnsi="宋体"/>
          <w:sz w:val="24"/>
        </w:rPr>
        <w:t>配置与申请项目相适应的检验仪器设备(指确定检验对象特性值和结果的设备、仪器、器具、软件、标准物质、检验检测装置等，下同)及与检验检测相关的测量标准、参考数据、试剂、消耗品。</w:t>
      </w:r>
    </w:p>
    <w:p>
      <w:pPr>
        <w:spacing w:line="360" w:lineRule="auto"/>
        <w:ind w:firstLine="480" w:firstLineChars="200"/>
        <w:rPr>
          <w:rFonts w:ascii="宋体" w:hAnsi="宋体"/>
          <w:sz w:val="24"/>
        </w:rPr>
      </w:pPr>
      <w:r>
        <w:rPr>
          <w:rFonts w:hint="eastAsia" w:ascii="宋体" w:hAnsi="宋体"/>
          <w:sz w:val="24"/>
        </w:rPr>
        <w:t>依据核准规则附录db甲类检验机构定期检验项目检验设备要求，核准项目代码QD2、QD3对应的检验设备配备见下表：</w:t>
      </w:r>
    </w:p>
    <w:tbl>
      <w:tblPr>
        <w:tblStyle w:val="16"/>
        <w:tblW w:w="94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985"/>
        <w:gridCol w:w="6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tblHeader/>
        </w:trPr>
        <w:tc>
          <w:tcPr>
            <w:tcW w:w="1124" w:type="dxa"/>
            <w:vAlign w:val="center"/>
          </w:tcPr>
          <w:p>
            <w:pPr>
              <w:adjustRightInd w:val="0"/>
              <w:snapToGrid w:val="0"/>
              <w:spacing w:line="320" w:lineRule="exact"/>
              <w:jc w:val="center"/>
              <w:rPr>
                <w:rFonts w:asciiTheme="minorEastAsia" w:hAnsiTheme="minorEastAsia" w:eastAsiaTheme="minorEastAsia"/>
                <w:sz w:val="24"/>
              </w:rPr>
            </w:pPr>
            <w:r>
              <w:rPr>
                <w:rFonts w:asciiTheme="minorEastAsia" w:hAnsiTheme="minorEastAsia" w:eastAsiaTheme="minorEastAsia"/>
                <w:sz w:val="24"/>
              </w:rPr>
              <w:t>序号</w:t>
            </w:r>
          </w:p>
        </w:tc>
        <w:tc>
          <w:tcPr>
            <w:tcW w:w="1985" w:type="dxa"/>
            <w:vAlign w:val="center"/>
          </w:tcPr>
          <w:p>
            <w:pPr>
              <w:adjustRightInd w:val="0"/>
              <w:snapToGrid w:val="0"/>
              <w:spacing w:line="320" w:lineRule="exact"/>
              <w:ind w:left="-37" w:leftChars="-18" w:hanging="1"/>
              <w:jc w:val="center"/>
              <w:rPr>
                <w:rFonts w:asciiTheme="minorEastAsia" w:hAnsiTheme="minorEastAsia" w:eastAsiaTheme="minorEastAsia"/>
                <w:sz w:val="24"/>
              </w:rPr>
            </w:pPr>
            <w:r>
              <w:rPr>
                <w:rFonts w:asciiTheme="minorEastAsia" w:hAnsiTheme="minorEastAsia" w:eastAsiaTheme="minorEastAsia"/>
                <w:sz w:val="24"/>
              </w:rPr>
              <w:t>核准项目代码</w:t>
            </w:r>
          </w:p>
        </w:tc>
        <w:tc>
          <w:tcPr>
            <w:tcW w:w="6336" w:type="dxa"/>
            <w:vAlign w:val="center"/>
          </w:tcPr>
          <w:p>
            <w:pPr>
              <w:adjustRightInd w:val="0"/>
              <w:snapToGrid w:val="0"/>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检验设备</w:t>
            </w:r>
            <w:r>
              <w:rPr>
                <w:rFonts w:asciiTheme="minorEastAsia" w:hAnsiTheme="minorEastAsia" w:eastAsiaTheme="minorEastAsia"/>
                <w:sz w:val="24"/>
              </w:rPr>
              <w:t>配</w:t>
            </w:r>
            <w:r>
              <w:rPr>
                <w:rFonts w:hint="eastAsia" w:asciiTheme="minorEastAsia" w:hAnsiTheme="minorEastAsia" w:eastAsiaTheme="minorEastAsia"/>
                <w:sz w:val="24"/>
              </w:rPr>
              <w:t>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4"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1</w:t>
            </w:r>
          </w:p>
        </w:tc>
        <w:tc>
          <w:tcPr>
            <w:tcW w:w="1985"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QD2</w:t>
            </w:r>
          </w:p>
        </w:tc>
        <w:tc>
          <w:tcPr>
            <w:tcW w:w="6336" w:type="dxa"/>
            <w:vAlign w:val="center"/>
          </w:tcPr>
          <w:p>
            <w:pPr>
              <w:adjustRightInd w:val="0"/>
              <w:snapToGrid w:val="0"/>
              <w:spacing w:line="320" w:lineRule="exact"/>
              <w:rPr>
                <w:rFonts w:asciiTheme="minorEastAsia" w:hAnsiTheme="minorEastAsia" w:eastAsiaTheme="minorEastAsia"/>
                <w:bCs/>
                <w:spacing w:val="4"/>
                <w:sz w:val="24"/>
              </w:rPr>
            </w:pPr>
            <w:r>
              <w:rPr>
                <w:rFonts w:hint="eastAsia" w:asciiTheme="minorEastAsia" w:hAnsiTheme="minorEastAsia" w:eastAsiaTheme="minorEastAsia"/>
                <w:bCs/>
                <w:spacing w:val="4"/>
                <w:sz w:val="24"/>
              </w:rPr>
              <w:t>除机电类基本配置</w:t>
            </w:r>
            <w:r>
              <w:rPr>
                <w:rFonts w:asciiTheme="minorEastAsia" w:hAnsiTheme="minorEastAsia" w:eastAsiaTheme="minorEastAsia"/>
                <w:bCs/>
                <w:spacing w:val="4"/>
                <w:sz w:val="24"/>
              </w:rPr>
              <w:t>(其中Ⅰ类检验设备各不少于3台，Ⅱ类检验设备各不少于1台)外，还应当配置风速仪3台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4"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2</w:t>
            </w:r>
          </w:p>
        </w:tc>
        <w:tc>
          <w:tcPr>
            <w:tcW w:w="1985" w:type="dxa"/>
            <w:vAlign w:val="center"/>
          </w:tcPr>
          <w:p>
            <w:pPr>
              <w:pStyle w:val="33"/>
              <w:spacing w:line="320" w:lineRule="exact"/>
              <w:ind w:firstLine="0" w:firstLineChars="0"/>
              <w:jc w:val="center"/>
              <w:rPr>
                <w:rFonts w:asciiTheme="minorEastAsia" w:hAnsiTheme="minorEastAsia" w:eastAsiaTheme="minorEastAsia"/>
                <w:szCs w:val="24"/>
              </w:rPr>
            </w:pPr>
            <w:r>
              <w:rPr>
                <w:rFonts w:asciiTheme="minorEastAsia" w:hAnsiTheme="minorEastAsia" w:eastAsiaTheme="minorEastAsia"/>
                <w:szCs w:val="24"/>
              </w:rPr>
              <w:t>QD3</w:t>
            </w:r>
          </w:p>
        </w:tc>
        <w:tc>
          <w:tcPr>
            <w:tcW w:w="6336" w:type="dxa"/>
            <w:vAlign w:val="center"/>
          </w:tcPr>
          <w:p>
            <w:pPr>
              <w:adjustRightInd w:val="0"/>
              <w:snapToGrid w:val="0"/>
              <w:spacing w:line="320" w:lineRule="exact"/>
              <w:rPr>
                <w:rFonts w:asciiTheme="minorEastAsia" w:hAnsiTheme="minorEastAsia" w:eastAsiaTheme="minorEastAsia"/>
                <w:bCs/>
                <w:spacing w:val="4"/>
                <w:sz w:val="24"/>
              </w:rPr>
            </w:pPr>
            <w:r>
              <w:rPr>
                <w:rFonts w:hint="eastAsia" w:asciiTheme="minorEastAsia" w:hAnsiTheme="minorEastAsia" w:eastAsiaTheme="minorEastAsia"/>
                <w:bCs/>
                <w:spacing w:val="4"/>
                <w:sz w:val="24"/>
              </w:rPr>
              <w:t>除机电类基本配置</w:t>
            </w:r>
            <w:r>
              <w:rPr>
                <w:rFonts w:asciiTheme="minorEastAsia" w:hAnsiTheme="minorEastAsia" w:eastAsiaTheme="minorEastAsia"/>
                <w:bCs/>
                <w:spacing w:val="4"/>
                <w:sz w:val="24"/>
              </w:rPr>
              <w:t>(其中Ⅰ类检验设备各不少于2台，Ⅱ类检验设备各不少于1台)外，还应当配置风速仪2台</w:t>
            </w:r>
          </w:p>
        </w:tc>
      </w:tr>
    </w:tbl>
    <w:p>
      <w:pPr>
        <w:spacing w:line="360" w:lineRule="auto"/>
        <w:ind w:firstLine="480" w:firstLineChars="200"/>
        <w:rPr>
          <w:rFonts w:ascii="宋体" w:hAnsi="宋体"/>
          <w:sz w:val="24"/>
        </w:rPr>
      </w:pPr>
      <w:r>
        <w:rPr>
          <w:rFonts w:hint="eastAsia" w:ascii="宋体" w:hAnsi="宋体"/>
          <w:sz w:val="24"/>
        </w:rPr>
        <w:t>机电类基本配置中Ⅰ类检验设备包括数字万用表、接地电阻测试仪、绝缘电阻测量仪、转速表或者速度检测仪、便携式激光测距仪、噪声检测仪、测厚仪等；Ⅱ类检验设备包括经纬仪、水准仪、钢丝绳探伤仪、便携式超声波探伤仪、便携式磁粉探伤仪等。</w:t>
      </w:r>
    </w:p>
    <w:p>
      <w:pPr>
        <w:spacing w:line="360" w:lineRule="auto"/>
        <w:ind w:firstLine="480" w:firstLineChars="200"/>
        <w:rPr>
          <w:rFonts w:ascii="宋体" w:hAnsi="宋体"/>
          <w:sz w:val="24"/>
        </w:rPr>
      </w:pPr>
      <w:r>
        <w:rPr>
          <w:rFonts w:hint="eastAsia" w:ascii="宋体" w:hAnsi="宋体"/>
          <w:sz w:val="24"/>
        </w:rPr>
        <w:t>检验设备应当是申请单位自有产权。</w:t>
      </w:r>
    </w:p>
    <w:p>
      <w:pPr>
        <w:spacing w:line="360" w:lineRule="auto"/>
        <w:ind w:firstLine="480" w:firstLineChars="200"/>
        <w:rPr>
          <w:rFonts w:ascii="宋体" w:hAnsi="宋体"/>
          <w:sz w:val="24"/>
        </w:rPr>
      </w:pPr>
      <w:r>
        <w:rPr>
          <w:rFonts w:hint="eastAsia" w:ascii="宋体" w:hAnsi="宋体"/>
          <w:sz w:val="24"/>
        </w:rPr>
        <w:t>5.1.3 甲类检验机构专项条件</w:t>
      </w:r>
    </w:p>
    <w:p>
      <w:pPr>
        <w:spacing w:line="360" w:lineRule="auto"/>
        <w:ind w:firstLine="480" w:firstLineChars="200"/>
        <w:rPr>
          <w:rFonts w:ascii="宋体" w:hAnsi="宋体"/>
          <w:sz w:val="24"/>
        </w:rPr>
      </w:pPr>
      <w:r>
        <w:rPr>
          <w:rFonts w:hint="eastAsia" w:ascii="宋体" w:hAnsi="宋体"/>
          <w:sz w:val="24"/>
        </w:rPr>
        <w:t>5.1.3.1 甲类检验机构B1级</w:t>
      </w:r>
    </w:p>
    <w:p>
      <w:pPr>
        <w:spacing w:line="360" w:lineRule="auto"/>
        <w:ind w:firstLine="480" w:firstLineChars="200"/>
        <w:rPr>
          <w:rFonts w:ascii="宋体" w:hAnsi="宋体"/>
          <w:sz w:val="24"/>
        </w:rPr>
      </w:pPr>
      <w:r>
        <w:rPr>
          <w:rFonts w:hint="eastAsia" w:ascii="宋体" w:hAnsi="宋体"/>
          <w:sz w:val="24"/>
        </w:rPr>
        <w:t>(1)资产配置</w:t>
      </w:r>
    </w:p>
    <w:p>
      <w:pPr>
        <w:spacing w:line="360" w:lineRule="auto"/>
        <w:ind w:firstLine="480" w:firstLineChars="200"/>
        <w:rPr>
          <w:rFonts w:ascii="宋体" w:hAnsi="宋体"/>
          <w:sz w:val="24"/>
        </w:rPr>
      </w:pPr>
      <w:r>
        <w:rPr>
          <w:rFonts w:hint="eastAsia" w:ascii="宋体" w:hAnsi="宋体"/>
          <w:sz w:val="24"/>
        </w:rPr>
        <w:t>固定资产总值原值不低于300万元，其中检验设备原值不低于150万元；具有建筑面积不少于300 m</w:t>
      </w:r>
      <w:r>
        <w:rPr>
          <w:rFonts w:hint="eastAsia" w:ascii="宋体" w:hAnsi="宋体"/>
          <w:sz w:val="24"/>
          <w:vertAlign w:val="superscript"/>
        </w:rPr>
        <w:t>2</w:t>
      </w:r>
      <w:r>
        <w:rPr>
          <w:rFonts w:hint="eastAsia" w:ascii="宋体" w:hAnsi="宋体"/>
          <w:sz w:val="24"/>
        </w:rPr>
        <w:t>的固定办公场所。</w:t>
      </w:r>
    </w:p>
    <w:p>
      <w:pPr>
        <w:spacing w:line="360" w:lineRule="auto"/>
        <w:ind w:firstLine="480" w:firstLineChars="200"/>
        <w:rPr>
          <w:rFonts w:ascii="宋体" w:hAnsi="宋体"/>
          <w:sz w:val="24"/>
        </w:rPr>
      </w:pPr>
      <w:r>
        <w:rPr>
          <w:rFonts w:hint="eastAsia" w:ascii="宋体" w:hAnsi="宋体"/>
          <w:sz w:val="24"/>
        </w:rPr>
        <w:t>(2)人员配备</w:t>
      </w:r>
    </w:p>
    <w:p>
      <w:pPr>
        <w:spacing w:line="360" w:lineRule="auto"/>
        <w:ind w:firstLine="480" w:firstLineChars="200"/>
        <w:rPr>
          <w:rFonts w:ascii="宋体" w:hAnsi="宋体"/>
          <w:sz w:val="24"/>
        </w:rPr>
      </w:pPr>
      <w:r>
        <w:rPr>
          <w:rFonts w:hint="eastAsia" w:ascii="宋体" w:hAnsi="宋体"/>
          <w:sz w:val="24"/>
        </w:rPr>
        <w:t>全职持有特种设备检验人员证的人员不少于30名，检验人员中检验师不少于8名。</w:t>
      </w:r>
    </w:p>
    <w:p>
      <w:pPr>
        <w:spacing w:line="360" w:lineRule="auto"/>
        <w:ind w:firstLine="480" w:firstLineChars="200"/>
        <w:rPr>
          <w:rFonts w:ascii="宋体" w:hAnsi="宋体"/>
          <w:sz w:val="24"/>
        </w:rPr>
      </w:pPr>
      <w:r>
        <w:rPr>
          <w:rFonts w:hint="eastAsia" w:ascii="宋体" w:hAnsi="宋体"/>
          <w:sz w:val="24"/>
        </w:rPr>
        <w:t>5.1.3.2 甲类检验机构B2级</w:t>
      </w:r>
    </w:p>
    <w:p>
      <w:pPr>
        <w:spacing w:line="360" w:lineRule="auto"/>
        <w:ind w:firstLine="480" w:firstLineChars="200"/>
        <w:rPr>
          <w:rFonts w:ascii="宋体" w:hAnsi="宋体"/>
          <w:sz w:val="24"/>
        </w:rPr>
      </w:pPr>
      <w:r>
        <w:rPr>
          <w:rFonts w:hint="eastAsia" w:ascii="宋体" w:hAnsi="宋体"/>
          <w:sz w:val="24"/>
        </w:rPr>
        <w:t>(1)资产配置</w:t>
      </w:r>
    </w:p>
    <w:p>
      <w:pPr>
        <w:spacing w:line="360" w:lineRule="auto"/>
        <w:ind w:firstLine="480" w:firstLineChars="200"/>
        <w:rPr>
          <w:rFonts w:ascii="宋体" w:hAnsi="宋体"/>
          <w:sz w:val="24"/>
        </w:rPr>
      </w:pPr>
      <w:r>
        <w:rPr>
          <w:rFonts w:hint="eastAsia" w:ascii="宋体" w:hAnsi="宋体"/>
          <w:sz w:val="24"/>
        </w:rPr>
        <w:t>固定资产总值原值不低于100万元，具有建筑面积不少于100 m</w:t>
      </w:r>
      <w:r>
        <w:rPr>
          <w:rFonts w:hint="eastAsia" w:ascii="宋体" w:hAnsi="宋体"/>
          <w:sz w:val="24"/>
          <w:vertAlign w:val="superscript"/>
        </w:rPr>
        <w:t>2</w:t>
      </w:r>
      <w:r>
        <w:rPr>
          <w:rFonts w:hint="eastAsia" w:ascii="宋体" w:hAnsi="宋体"/>
          <w:sz w:val="24"/>
        </w:rPr>
        <w:t>的固定办公场所。</w:t>
      </w:r>
    </w:p>
    <w:p>
      <w:pPr>
        <w:spacing w:line="360" w:lineRule="auto"/>
        <w:ind w:firstLine="480" w:firstLineChars="200"/>
        <w:rPr>
          <w:rFonts w:ascii="宋体" w:hAnsi="宋体"/>
          <w:sz w:val="24"/>
        </w:rPr>
      </w:pPr>
      <w:r>
        <w:rPr>
          <w:rFonts w:hint="eastAsia" w:ascii="宋体" w:hAnsi="宋体"/>
          <w:sz w:val="24"/>
        </w:rPr>
        <w:t>5.1.4 应当准备的文件资料</w:t>
      </w:r>
    </w:p>
    <w:p>
      <w:pPr>
        <w:spacing w:line="360" w:lineRule="auto"/>
        <w:ind w:firstLine="480" w:firstLineChars="200"/>
        <w:rPr>
          <w:rFonts w:ascii="宋体" w:hAnsi="宋体"/>
          <w:sz w:val="24"/>
        </w:rPr>
      </w:pPr>
      <w:r>
        <w:rPr>
          <w:rFonts w:hint="eastAsia" w:ascii="宋体" w:hAnsi="宋体"/>
          <w:sz w:val="24"/>
        </w:rPr>
        <w:t>法人营业执照、办公场地相关资料、固定资产帐目、检验设备台帐及档案、检验设备原值统计表及自有产权证明资料、员工缴纳社保凭证、特种设备检验检测人员资格证及注册证、原核准证、机构负责人的任命文件；技术负责人、质量负责人、检验责任师的任命文件、人员培训见证资料。</w:t>
      </w:r>
    </w:p>
    <w:p>
      <w:pPr>
        <w:spacing w:line="360" w:lineRule="auto"/>
        <w:ind w:firstLine="480" w:firstLineChars="200"/>
        <w:rPr>
          <w:rFonts w:ascii="宋体" w:hAnsi="宋体"/>
          <w:sz w:val="24"/>
        </w:rPr>
      </w:pPr>
      <w:r>
        <w:rPr>
          <w:rFonts w:hint="eastAsia" w:ascii="宋体" w:hAnsi="宋体"/>
          <w:sz w:val="24"/>
        </w:rPr>
        <w:t>5.1.5 应当建立检验信息管理系统，能够根据需要提供真实、准确的特种设备检验数据、信息；使用检验信息管理系统对质量管理和检验信息进行收集和管理时，应当确保信息收集的及时、齐全、准确、安全和可追溯性；检验信息系统的使用人员应当得到授权并且有效控制。</w:t>
      </w:r>
    </w:p>
    <w:p>
      <w:pPr>
        <w:spacing w:line="360" w:lineRule="auto"/>
        <w:ind w:firstLine="480" w:firstLineChars="200"/>
        <w:rPr>
          <w:rFonts w:ascii="宋体" w:hAnsi="宋体"/>
          <w:sz w:val="24"/>
        </w:rPr>
      </w:pPr>
      <w:r>
        <w:rPr>
          <w:rFonts w:hint="eastAsia" w:ascii="宋体" w:hAnsi="宋体"/>
          <w:sz w:val="24"/>
        </w:rPr>
        <w:t>5.2 质量管理体系</w:t>
      </w:r>
    </w:p>
    <w:p>
      <w:pPr>
        <w:spacing w:line="360" w:lineRule="auto"/>
        <w:ind w:firstLine="480" w:firstLineChars="200"/>
        <w:rPr>
          <w:rFonts w:ascii="宋体" w:hAnsi="宋体"/>
          <w:sz w:val="24"/>
        </w:rPr>
      </w:pPr>
      <w:r>
        <w:rPr>
          <w:rFonts w:hint="eastAsia" w:ascii="宋体" w:hAnsi="宋体"/>
          <w:sz w:val="24"/>
        </w:rPr>
        <w:t>申请机构应当按照核准规则要求建立质量管理体系，有效实施并提供体系运行实施记录及见证材料。见证材料包括质量管理体系基本要求、质量管理体系、管理职责、资源管理、检验实施、分析与改进、与政府、行业和客户关系等要素。</w:t>
      </w:r>
    </w:p>
    <w:p>
      <w:pPr>
        <w:spacing w:line="360" w:lineRule="auto"/>
        <w:ind w:firstLine="480" w:firstLineChars="200"/>
        <w:rPr>
          <w:rFonts w:ascii="宋体" w:hAnsi="宋体"/>
          <w:sz w:val="24"/>
        </w:rPr>
      </w:pPr>
      <w:r>
        <w:rPr>
          <w:rFonts w:hint="eastAsia" w:ascii="宋体" w:hAnsi="宋体"/>
          <w:sz w:val="24"/>
        </w:rPr>
        <w:t>5.3 检验工作能力</w:t>
      </w:r>
    </w:p>
    <w:p>
      <w:pPr>
        <w:spacing w:line="360" w:lineRule="auto"/>
        <w:ind w:firstLine="480" w:firstLineChars="200"/>
        <w:rPr>
          <w:rFonts w:ascii="宋体" w:hAnsi="宋体"/>
          <w:sz w:val="24"/>
        </w:rPr>
      </w:pPr>
      <w:r>
        <w:rPr>
          <w:rFonts w:hint="eastAsia" w:ascii="宋体" w:hAnsi="宋体"/>
          <w:sz w:val="24"/>
        </w:rPr>
        <w:t>申请延续核准的，在上一核准周期内，应当有相应检验项目的检验业绩。申请机构应当在评审组抵达现场前准备相应申请项目的检验报告及原始记录。</w:t>
      </w:r>
    </w:p>
    <w:p>
      <w:pPr>
        <w:spacing w:line="360" w:lineRule="auto"/>
        <w:ind w:firstLine="480" w:firstLineChars="200"/>
        <w:rPr>
          <w:rFonts w:ascii="宋体" w:hAnsi="宋体"/>
          <w:sz w:val="24"/>
        </w:rPr>
      </w:pPr>
      <w:r>
        <w:rPr>
          <w:rFonts w:hint="eastAsia" w:ascii="宋体" w:hAnsi="宋体"/>
          <w:sz w:val="24"/>
        </w:rPr>
        <w:t>申请机构应当根据所受理的项目准备好检验现场跟踪检查样机。</w:t>
      </w:r>
    </w:p>
    <w:p>
      <w:pPr>
        <w:tabs>
          <w:tab w:val="left" w:pos="2490"/>
        </w:tabs>
        <w:spacing w:line="480" w:lineRule="auto"/>
        <w:outlineLvl w:val="0"/>
        <w:rPr>
          <w:rFonts w:ascii="宋体" w:hAnsi="宋体" w:cs="黑体"/>
          <w:b/>
          <w:sz w:val="24"/>
        </w:rPr>
      </w:pPr>
      <w:r>
        <w:rPr>
          <w:rFonts w:hint="eastAsia" w:ascii="宋体" w:hAnsi="宋体" w:cs="黑体"/>
          <w:b/>
          <w:sz w:val="24"/>
        </w:rPr>
        <w:t>6  现场鉴定评审的配合事项及需要提交的资料</w:t>
      </w:r>
    </w:p>
    <w:p>
      <w:pPr>
        <w:spacing w:line="360" w:lineRule="auto"/>
        <w:ind w:firstLine="480" w:firstLineChars="200"/>
        <w:rPr>
          <w:rFonts w:ascii="宋体" w:hAnsi="宋体"/>
          <w:sz w:val="24"/>
        </w:rPr>
      </w:pPr>
      <w:r>
        <w:rPr>
          <w:rFonts w:hint="eastAsia" w:ascii="宋体" w:hAnsi="宋体"/>
          <w:sz w:val="24"/>
        </w:rPr>
        <w:t>6.1 接到协会发出的现场鉴定评审通知函后，申请机构应当及时告知当地特种设备安全监督管理部门，以便其对鉴定评审工作进行现场监督。</w:t>
      </w:r>
    </w:p>
    <w:p>
      <w:pPr>
        <w:spacing w:line="360" w:lineRule="auto"/>
        <w:ind w:firstLine="480" w:firstLineChars="200"/>
        <w:rPr>
          <w:rFonts w:ascii="宋体" w:hAnsi="宋体"/>
          <w:sz w:val="24"/>
        </w:rPr>
      </w:pPr>
      <w:r>
        <w:rPr>
          <w:rFonts w:hint="eastAsia" w:ascii="宋体" w:hAnsi="宋体"/>
          <w:sz w:val="24"/>
        </w:rPr>
        <w:t>6.2 申请机构应当根据评审组长的要求，做好预备会议、首次会议、总结会议的准备工作。</w:t>
      </w:r>
    </w:p>
    <w:p>
      <w:pPr>
        <w:spacing w:line="360" w:lineRule="auto"/>
        <w:ind w:firstLine="480" w:firstLineChars="200"/>
        <w:rPr>
          <w:rFonts w:ascii="宋体" w:hAnsi="宋体"/>
          <w:sz w:val="24"/>
        </w:rPr>
      </w:pPr>
      <w:r>
        <w:rPr>
          <w:rFonts w:hint="eastAsia" w:ascii="宋体" w:hAnsi="宋体"/>
          <w:sz w:val="24"/>
        </w:rPr>
        <w:t>6.3 申请机构应当准备汇报材料，并按评审组人数准备质量管理体系文件。</w:t>
      </w:r>
    </w:p>
    <w:p>
      <w:pPr>
        <w:spacing w:line="360" w:lineRule="auto"/>
        <w:ind w:firstLine="480" w:firstLineChars="200"/>
        <w:rPr>
          <w:rFonts w:ascii="宋体" w:hAnsi="宋体"/>
          <w:sz w:val="24"/>
        </w:rPr>
      </w:pPr>
      <w:r>
        <w:rPr>
          <w:rFonts w:hint="eastAsia" w:ascii="宋体" w:hAnsi="宋体"/>
          <w:sz w:val="24"/>
        </w:rPr>
        <w:t>6.4 按评审组的要求，完成其它的评审配合工作。</w:t>
      </w:r>
      <w:bookmarkStart w:id="8" w:name="_TOC_250005"/>
      <w:bookmarkEnd w:id="8"/>
    </w:p>
    <w:p>
      <w:pPr>
        <w:spacing w:line="360" w:lineRule="auto"/>
        <w:ind w:firstLine="480" w:firstLineChars="200"/>
        <w:rPr>
          <w:rFonts w:ascii="宋体" w:hAnsi="宋体"/>
          <w:sz w:val="24"/>
        </w:rPr>
      </w:pPr>
      <w:r>
        <w:rPr>
          <w:rFonts w:hint="eastAsia" w:ascii="宋体" w:hAnsi="宋体"/>
          <w:sz w:val="24"/>
        </w:rPr>
        <w:t>6.5 向评审组提交下列见证材料，材料必须是原件的复印件或扫描件且装订成册：</w:t>
      </w:r>
    </w:p>
    <w:p>
      <w:pPr>
        <w:spacing w:line="360" w:lineRule="auto"/>
        <w:ind w:firstLine="480" w:firstLineChars="200"/>
        <w:rPr>
          <w:rFonts w:ascii="宋体" w:hAnsi="宋体"/>
          <w:sz w:val="24"/>
        </w:rPr>
      </w:pPr>
      <w:r>
        <w:rPr>
          <w:rFonts w:hint="eastAsia" w:ascii="宋体" w:hAnsi="宋体"/>
          <w:sz w:val="24"/>
        </w:rPr>
        <w:t xml:space="preserve">  （1）营业执照或法人证书；</w:t>
      </w:r>
    </w:p>
    <w:p>
      <w:pPr>
        <w:spacing w:line="360" w:lineRule="auto"/>
        <w:ind w:firstLine="480" w:firstLineChars="200"/>
        <w:rPr>
          <w:rFonts w:ascii="宋体" w:hAnsi="宋体"/>
          <w:sz w:val="24"/>
        </w:rPr>
      </w:pPr>
      <w:r>
        <w:rPr>
          <w:rFonts w:hint="eastAsia" w:ascii="宋体" w:hAnsi="宋体"/>
          <w:sz w:val="24"/>
        </w:rPr>
        <w:t xml:space="preserve">  （2）核准证书（首次核准不需要）；</w:t>
      </w:r>
    </w:p>
    <w:p>
      <w:pPr>
        <w:spacing w:line="360" w:lineRule="auto"/>
        <w:ind w:firstLine="480" w:firstLineChars="200"/>
        <w:rPr>
          <w:rFonts w:ascii="宋体" w:hAnsi="宋体"/>
          <w:sz w:val="24"/>
        </w:rPr>
      </w:pPr>
      <w:r>
        <w:rPr>
          <w:rFonts w:hint="eastAsia" w:ascii="宋体" w:hAnsi="宋体"/>
          <w:sz w:val="24"/>
        </w:rPr>
        <w:t xml:space="preserve">  （3）特种设备检验机构核准申请书；</w:t>
      </w:r>
    </w:p>
    <w:p>
      <w:pPr>
        <w:spacing w:line="360" w:lineRule="auto"/>
        <w:ind w:firstLine="480" w:firstLineChars="200"/>
        <w:rPr>
          <w:rFonts w:ascii="宋体" w:hAnsi="宋体"/>
          <w:sz w:val="24"/>
        </w:rPr>
      </w:pPr>
      <w:r>
        <w:rPr>
          <w:rFonts w:hint="eastAsia" w:ascii="宋体" w:hAnsi="宋体"/>
          <w:sz w:val="24"/>
        </w:rPr>
        <w:t xml:space="preserve">  （4）特种设备行政许可受理决定书；</w:t>
      </w:r>
    </w:p>
    <w:p>
      <w:pPr>
        <w:spacing w:line="360" w:lineRule="auto"/>
        <w:ind w:firstLine="480" w:firstLineChars="200"/>
        <w:rPr>
          <w:rFonts w:ascii="宋体" w:hAnsi="宋体"/>
          <w:sz w:val="24"/>
        </w:rPr>
      </w:pPr>
      <w:r>
        <w:rPr>
          <w:rFonts w:hint="eastAsia" w:ascii="宋体" w:hAnsi="宋体"/>
          <w:sz w:val="24"/>
        </w:rPr>
        <w:t xml:space="preserve">  （5）固定办公证明材料（自有产权的包括土地使用证、房屋产权证；租赁的包括租赁合同及土地使用证、房屋产权证复印件）；</w:t>
      </w:r>
    </w:p>
    <w:p>
      <w:pPr>
        <w:spacing w:line="360" w:lineRule="auto"/>
        <w:ind w:firstLine="480" w:firstLineChars="200"/>
        <w:rPr>
          <w:rFonts w:ascii="宋体" w:hAnsi="宋体"/>
          <w:sz w:val="24"/>
        </w:rPr>
      </w:pPr>
      <w:r>
        <w:rPr>
          <w:rFonts w:hint="eastAsia" w:ascii="宋体" w:hAnsi="宋体"/>
          <w:sz w:val="24"/>
        </w:rPr>
        <w:t xml:space="preserve">  （6）人员资料：</w:t>
      </w:r>
    </w:p>
    <w:p>
      <w:pPr>
        <w:spacing w:line="360" w:lineRule="auto"/>
        <w:ind w:firstLine="480" w:firstLineChars="200"/>
        <w:rPr>
          <w:rFonts w:ascii="宋体" w:hAnsi="宋体"/>
          <w:sz w:val="24"/>
        </w:rPr>
      </w:pPr>
      <w:r>
        <w:rPr>
          <w:rFonts w:hint="eastAsia" w:ascii="宋体" w:hAnsi="宋体"/>
          <w:sz w:val="24"/>
        </w:rPr>
        <w:t xml:space="preserve">   a.技术负责人、质量负责人、责任人员任命文件； </w:t>
      </w:r>
    </w:p>
    <w:p>
      <w:pPr>
        <w:spacing w:line="360" w:lineRule="auto"/>
        <w:ind w:firstLine="480" w:firstLineChars="200"/>
        <w:rPr>
          <w:rFonts w:ascii="宋体" w:hAnsi="宋体"/>
          <w:sz w:val="24"/>
        </w:rPr>
      </w:pPr>
      <w:r>
        <w:rPr>
          <w:rFonts w:hint="eastAsia" w:ascii="宋体" w:hAnsi="宋体"/>
          <w:sz w:val="24"/>
        </w:rPr>
        <w:t xml:space="preserve">   b.检验检测人员资格证件、注册证书；</w:t>
      </w:r>
    </w:p>
    <w:p>
      <w:pPr>
        <w:spacing w:line="360" w:lineRule="auto"/>
        <w:ind w:firstLine="480" w:firstLineChars="200"/>
        <w:rPr>
          <w:rFonts w:ascii="宋体" w:hAnsi="宋体"/>
          <w:sz w:val="24"/>
        </w:rPr>
      </w:pPr>
      <w:r>
        <w:rPr>
          <w:rFonts w:hint="eastAsia" w:ascii="宋体" w:hAnsi="宋体"/>
          <w:sz w:val="24"/>
        </w:rPr>
        <w:t xml:space="preserve">   c.专业技术人员资格证件；</w:t>
      </w:r>
    </w:p>
    <w:p>
      <w:pPr>
        <w:spacing w:line="360" w:lineRule="auto"/>
        <w:ind w:firstLine="480" w:firstLineChars="200"/>
        <w:rPr>
          <w:rFonts w:ascii="宋体" w:hAnsi="宋体"/>
          <w:sz w:val="24"/>
        </w:rPr>
      </w:pPr>
      <w:r>
        <w:rPr>
          <w:rFonts w:hint="eastAsia" w:ascii="宋体" w:hAnsi="宋体"/>
          <w:sz w:val="24"/>
        </w:rPr>
        <w:t xml:space="preserve">   d.培训证明；</w:t>
      </w:r>
    </w:p>
    <w:p>
      <w:pPr>
        <w:spacing w:line="360" w:lineRule="auto"/>
        <w:ind w:firstLine="480" w:firstLineChars="200"/>
        <w:rPr>
          <w:rFonts w:ascii="宋体" w:hAnsi="宋体"/>
          <w:sz w:val="24"/>
        </w:rPr>
      </w:pPr>
      <w:r>
        <w:rPr>
          <w:rFonts w:hint="eastAsia" w:ascii="宋体" w:hAnsi="宋体"/>
          <w:sz w:val="24"/>
        </w:rPr>
        <w:t xml:space="preserve">   e.社保缴纳证明。</w:t>
      </w:r>
    </w:p>
    <w:p>
      <w:pPr>
        <w:spacing w:line="360" w:lineRule="auto"/>
        <w:ind w:firstLine="480" w:firstLineChars="200"/>
        <w:rPr>
          <w:rFonts w:ascii="宋体" w:hAnsi="宋体"/>
          <w:sz w:val="24"/>
        </w:rPr>
      </w:pPr>
      <w:r>
        <w:rPr>
          <w:rFonts w:hint="eastAsia" w:ascii="宋体" w:hAnsi="宋体"/>
          <w:sz w:val="24"/>
        </w:rPr>
        <w:t xml:space="preserve">  （7）质量手册、程序文件目录。</w:t>
      </w:r>
    </w:p>
    <w:p>
      <w:pPr>
        <w:spacing w:line="360" w:lineRule="auto"/>
        <w:ind w:firstLine="480" w:firstLineChars="200"/>
        <w:rPr>
          <w:rFonts w:ascii="宋体" w:hAnsi="宋体"/>
          <w:sz w:val="24"/>
        </w:rPr>
      </w:pPr>
      <w:r>
        <w:rPr>
          <w:rFonts w:hint="eastAsia" w:ascii="宋体" w:hAnsi="宋体"/>
          <w:sz w:val="24"/>
        </w:rPr>
        <w:t xml:space="preserve">  （8）申请单位工作汇报材料及关于提供的见证资料真实性承诺书。</w:t>
      </w:r>
    </w:p>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书宋简体">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shape id="_x0000_s1045" o:spid="_x0000_s1045" o:spt="202" type="#_x0000_t202" style="position:absolute;left:0pt;margin-left:216.45pt;margin-top:16pt;height:12pt;width:54.5pt;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11"/>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- 9 -</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59264;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hAnsi="宋体"/>
      </w:rPr>
      <w:t xml:space="preserve">XTXPS/ZN-QJY-2022                                </w:t>
    </w:r>
    <w:r>
      <w:rPr>
        <w:rFonts w:ascii="华文行楷" w:eastAsia="华文行楷"/>
        <w:sz w:val="21"/>
      </w:rPr>
      <w:drawing>
        <wp:inline distT="0" distB="0" distL="0" distR="0">
          <wp:extent cx="234315" cy="212090"/>
          <wp:effectExtent l="0" t="0" r="9525" b="127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rPr>
      <w:t xml:space="preserve">                                       </w:t>
    </w:r>
    <w:r>
      <w:rPr>
        <w:rStyle w:val="19"/>
        <w:rFonts w:hint="eastAsia" w:hAnsi="宋体" w:cs="宋体"/>
        <w:bCs/>
      </w:rPr>
      <w:t>专项指南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078CE"/>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6E38"/>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3C34"/>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57F"/>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0A0B"/>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2A8"/>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5C1D"/>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308"/>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0E06"/>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6DC"/>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7F"/>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0FE9"/>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43C"/>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D76F0"/>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C754E"/>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2CEF"/>
    <w:rsid w:val="00A63D33"/>
    <w:rsid w:val="00A64A8A"/>
    <w:rsid w:val="00A64E07"/>
    <w:rsid w:val="00A64E9E"/>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480"/>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3321"/>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0A44"/>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AA2"/>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18275F"/>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C72FDD"/>
    <w:rsid w:val="0BDE5511"/>
    <w:rsid w:val="0BF13340"/>
    <w:rsid w:val="0C0710D3"/>
    <w:rsid w:val="0C0B1E69"/>
    <w:rsid w:val="0C363673"/>
    <w:rsid w:val="0C434CD5"/>
    <w:rsid w:val="0C7B17F2"/>
    <w:rsid w:val="0C985AFF"/>
    <w:rsid w:val="0CD1111F"/>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E92FA8"/>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21F89"/>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786CE1"/>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B1745C"/>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0CF6E6C"/>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131BE"/>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47E51"/>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32B7B"/>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AEF6D55"/>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Document Map"/>
    <w:basedOn w:val="1"/>
    <w:link w:val="30"/>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link w:val="24"/>
    <w:qFormat/>
    <w:uiPriority w:val="0"/>
    <w:rPr>
      <w:rFonts w:ascii="宋体" w:hAnsi="Courier New" w:cs="Courier New"/>
      <w:szCs w:val="21"/>
    </w:rPr>
  </w:style>
  <w:style w:type="paragraph" w:styleId="8">
    <w:name w:val="Date"/>
    <w:basedOn w:val="1"/>
    <w:next w:val="1"/>
    <w:qFormat/>
    <w:uiPriority w:val="0"/>
    <w:pPr>
      <w:ind w:left="100" w:leftChars="2500"/>
    </w:pPr>
    <w:rPr>
      <w:rFonts w:ascii="宋体" w:hAnsi="宋体"/>
      <w:color w:val="FF6600"/>
      <w:kern w:val="0"/>
      <w:sz w:val="24"/>
    </w:rPr>
  </w:style>
  <w:style w:type="paragraph" w:styleId="9">
    <w:name w:val="Body Text Indent 2"/>
    <w:basedOn w:val="1"/>
    <w:link w:val="23"/>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5"/>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kern w:val="0"/>
      <w:sz w:val="24"/>
    </w:rPr>
  </w:style>
  <w:style w:type="paragraph" w:styleId="15">
    <w:name w:val="annotation subject"/>
    <w:basedOn w:val="4"/>
    <w:next w:val="4"/>
    <w:qFormat/>
    <w:uiPriority w:val="0"/>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page number"/>
    <w:basedOn w:val="18"/>
    <w:qFormat/>
    <w:uiPriority w:val="0"/>
  </w:style>
  <w:style w:type="character" w:styleId="20">
    <w:name w:val="Emphasis"/>
    <w:basedOn w:val="18"/>
    <w:qFormat/>
    <w:uiPriority w:val="0"/>
    <w:rPr>
      <w:i/>
    </w:rPr>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character" w:customStyle="1" w:styleId="23">
    <w:name w:val="正文文本缩进 2 字符"/>
    <w:basedOn w:val="18"/>
    <w:link w:val="9"/>
    <w:qFormat/>
    <w:uiPriority w:val="0"/>
    <w:rPr>
      <w:kern w:val="2"/>
      <w:sz w:val="21"/>
      <w:szCs w:val="24"/>
    </w:rPr>
  </w:style>
  <w:style w:type="character" w:customStyle="1" w:styleId="24">
    <w:name w:val="纯文本 字符"/>
    <w:basedOn w:val="18"/>
    <w:link w:val="7"/>
    <w:qFormat/>
    <w:uiPriority w:val="0"/>
    <w:rPr>
      <w:rFonts w:ascii="宋体" w:hAnsi="Courier New" w:cs="Courier New"/>
      <w:kern w:val="2"/>
      <w:sz w:val="21"/>
      <w:szCs w:val="21"/>
    </w:rPr>
  </w:style>
  <w:style w:type="character" w:customStyle="1" w:styleId="25">
    <w:name w:val="正文文本缩进 3 字符"/>
    <w:basedOn w:val="18"/>
    <w:link w:val="13"/>
    <w:qFormat/>
    <w:uiPriority w:val="0"/>
    <w:rPr>
      <w:kern w:val="2"/>
      <w:sz w:val="16"/>
      <w:szCs w:val="16"/>
    </w:rPr>
  </w:style>
  <w:style w:type="paragraph" w:customStyle="1" w:styleId="2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7">
    <w:name w:val="List Paragraph"/>
    <w:basedOn w:val="1"/>
    <w:qFormat/>
    <w:uiPriority w:val="34"/>
    <w:pPr>
      <w:ind w:firstLine="420" w:firstLineChars="200"/>
    </w:pPr>
  </w:style>
  <w:style w:type="paragraph" w:customStyle="1" w:styleId="2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正文文本缩进 2 Char1"/>
    <w:basedOn w:val="18"/>
    <w:semiHidden/>
    <w:qFormat/>
    <w:locked/>
    <w:uiPriority w:val="0"/>
    <w:rPr>
      <w:kern w:val="2"/>
      <w:sz w:val="21"/>
      <w:szCs w:val="24"/>
    </w:rPr>
  </w:style>
  <w:style w:type="character" w:customStyle="1" w:styleId="30">
    <w:name w:val="文档结构图 字符"/>
    <w:basedOn w:val="18"/>
    <w:link w:val="3"/>
    <w:qFormat/>
    <w:uiPriority w:val="0"/>
    <w:rPr>
      <w:rFonts w:ascii="宋体"/>
      <w:kern w:val="2"/>
      <w:sz w:val="18"/>
      <w:szCs w:val="18"/>
    </w:rPr>
  </w:style>
  <w:style w:type="paragraph" w:customStyle="1" w:styleId="31">
    <w:name w:val="目录 11"/>
    <w:basedOn w:val="1"/>
    <w:next w:val="1"/>
    <w:qFormat/>
    <w:uiPriority w:val="39"/>
    <w:pPr>
      <w:tabs>
        <w:tab w:val="right" w:leader="dot" w:pos="9241"/>
      </w:tabs>
      <w:spacing w:line="360" w:lineRule="auto"/>
    </w:pPr>
    <w:rPr>
      <w:rFonts w:ascii="宋体" w:hAnsi="宋体"/>
      <w:sz w:val="24"/>
    </w:rPr>
  </w:style>
  <w:style w:type="paragraph" w:customStyle="1" w:styleId="32">
    <w:name w:val="1级"/>
    <w:basedOn w:val="1"/>
    <w:qFormat/>
    <w:uiPriority w:val="0"/>
    <w:pPr>
      <w:widowControl/>
      <w:shd w:val="clear" w:color="FFFFFF" w:fill="FFFFFF"/>
      <w:spacing w:before="600" w:after="400" w:line="460" w:lineRule="exact"/>
      <w:jc w:val="center"/>
      <w:outlineLvl w:val="0"/>
    </w:pPr>
    <w:rPr>
      <w:rFonts w:ascii="黑体" w:eastAsia="黑体" w:cstheme="minorBidi"/>
      <w:spacing w:val="4"/>
      <w:sz w:val="32"/>
      <w:szCs w:val="32"/>
    </w:rPr>
  </w:style>
  <w:style w:type="paragraph" w:customStyle="1" w:styleId="33">
    <w:name w:val="段"/>
    <w:basedOn w:val="1"/>
    <w:qFormat/>
    <w:uiPriority w:val="99"/>
    <w:pPr>
      <w:adjustRightInd w:val="0"/>
      <w:snapToGrid w:val="0"/>
      <w:spacing w:line="400" w:lineRule="exact"/>
      <w:ind w:firstLine="200" w:firstLineChars="200"/>
    </w:pPr>
    <w:rPr>
      <w:rFonts w:eastAsia="方正书宋简体" w:asciiTheme="minorHAnsi" w:hAnsiTheme="minorHAnsi" w:cstheme="minorBidi"/>
      <w:bCs/>
      <w:spacing w:val="4"/>
      <w:sz w:val="24"/>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19EE0-9B29-4436-A156-1B07CB2CA324}">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11</Pages>
  <Words>6429</Words>
  <Characters>6749</Characters>
  <Lines>50</Lines>
  <Paragraphs>14</Paragraphs>
  <TotalTime>6</TotalTime>
  <ScaleCrop>false</ScaleCrop>
  <LinksUpToDate>false</LinksUpToDate>
  <CharactersWithSpaces>6903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2023-04-07T07:04:24Z</dcterms:modified>
  <dc:title>《质量手册》批准发布令</dc:title>
  <cp:revision>1346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