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sz w:val="48"/>
        </w:rPr>
      </w:pPr>
    </w:p>
    <w:tbl>
      <w:tblPr>
        <w:tblStyle w:val="18"/>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sz w:val="24"/>
              </w:rPr>
            </w:pPr>
            <w:r>
              <w:rPr>
                <w:rFonts w:hint="eastAsia" w:eastAsia="隶书"/>
                <w:b/>
                <w:bCs/>
                <w:sz w:val="24"/>
              </w:rPr>
              <w:t>所属类别</w:t>
            </w:r>
          </w:p>
        </w:tc>
        <w:tc>
          <w:tcPr>
            <w:tcW w:w="2961" w:type="dxa"/>
            <w:vAlign w:val="center"/>
          </w:tcPr>
          <w:p>
            <w:pPr>
              <w:jc w:val="center"/>
              <w:rPr>
                <w:rFonts w:eastAsia="隶书"/>
                <w:b/>
                <w:bCs/>
                <w:sz w:val="24"/>
              </w:rPr>
            </w:pPr>
            <w:r>
              <w:rPr>
                <w:rFonts w:hint="eastAsia" w:eastAsia="隶书"/>
                <w:b/>
                <w:bCs/>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sz w:val="24"/>
              </w:rPr>
            </w:pPr>
            <w:r>
              <w:rPr>
                <w:rFonts w:hint="eastAsia" w:eastAsia="隶书"/>
                <w:b/>
                <w:bCs/>
                <w:sz w:val="24"/>
              </w:rPr>
              <w:t>文 件 号</w:t>
            </w:r>
          </w:p>
        </w:tc>
        <w:tc>
          <w:tcPr>
            <w:tcW w:w="2961" w:type="dxa"/>
            <w:vAlign w:val="center"/>
          </w:tcPr>
          <w:p>
            <w:pPr>
              <w:jc w:val="center"/>
              <w:rPr>
                <w:rFonts w:eastAsia="隶书"/>
                <w:b/>
                <w:bCs/>
                <w:sz w:val="24"/>
              </w:rPr>
            </w:pPr>
            <w:r>
              <w:rPr>
                <w:rFonts w:hint="eastAsia" w:eastAsia="隶书"/>
                <w:b/>
                <w:bCs/>
                <w:sz w:val="24"/>
              </w:rPr>
              <w:t>XTXPS/ZN-GDY-2022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sz w:val="24"/>
              </w:rPr>
            </w:pPr>
            <w:r>
              <w:rPr>
                <w:rFonts w:hint="eastAsia" w:eastAsia="隶书"/>
                <w:b/>
                <w:bCs/>
                <w:sz w:val="24"/>
              </w:rPr>
              <w:t>受控状态</w:t>
            </w:r>
          </w:p>
        </w:tc>
        <w:tc>
          <w:tcPr>
            <w:tcW w:w="2961" w:type="dxa"/>
          </w:tcPr>
          <w:p>
            <w:pPr>
              <w:rPr>
                <w:sz w:val="24"/>
              </w:rPr>
            </w:pPr>
            <w:r>
              <w:rPr>
                <w:rFonts w:hint="eastAsia" w:eastAsia="隶书"/>
                <w:b/>
                <w:bCs/>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sz w:val="24"/>
              </w:rPr>
            </w:pPr>
            <w:r>
              <w:rPr>
                <w:rFonts w:hint="eastAsia" w:eastAsia="隶书"/>
                <w:b/>
                <w:bCs/>
                <w:sz w:val="24"/>
              </w:rPr>
              <w:t>发 放 号</w:t>
            </w:r>
          </w:p>
        </w:tc>
        <w:tc>
          <w:tcPr>
            <w:tcW w:w="2961" w:type="dxa"/>
          </w:tcPr>
          <w:p>
            <w:pPr>
              <w:rPr>
                <w:sz w:val="24"/>
              </w:rPr>
            </w:pPr>
          </w:p>
        </w:tc>
      </w:tr>
    </w:tbl>
    <w:p>
      <w:pPr>
        <w:rPr>
          <w:rFonts w:eastAsia="隶书"/>
          <w:b/>
          <w:bCs/>
          <w:sz w:val="48"/>
        </w:rPr>
      </w:pPr>
    </w:p>
    <w:p>
      <w:pPr>
        <w:rPr>
          <w:rFonts w:eastAsia="隶书"/>
          <w:b/>
          <w:bCs/>
          <w:sz w:val="48"/>
        </w:rPr>
      </w:pPr>
    </w:p>
    <w:p>
      <w:pPr>
        <w:rPr>
          <w:rFonts w:eastAsia="隶书"/>
          <w:b/>
          <w:bCs/>
          <w:sz w:val="48"/>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23"/>
          <w:sz w:val="84"/>
          <w:szCs w:val="84"/>
          <w:lang w:val="en-US" w:eastAsia="zh-CN"/>
        </w:rPr>
      </w:pPr>
      <w:r>
        <w:rPr>
          <w:rFonts w:hint="eastAsia" w:ascii="隶书" w:hAnsi="宋体" w:eastAsia="隶书" w:cs="宋体"/>
          <w:b/>
          <w:bCs/>
          <w:spacing w:val="23"/>
          <w:sz w:val="84"/>
          <w:szCs w:val="84"/>
        </w:rPr>
        <w:t>特种设备</w:t>
      </w:r>
      <w:r>
        <w:rPr>
          <w:rFonts w:hint="eastAsia" w:ascii="隶书" w:hAnsi="宋体" w:eastAsia="隶书" w:cs="宋体"/>
          <w:b/>
          <w:bCs/>
          <w:spacing w:val="23"/>
          <w:sz w:val="84"/>
          <w:szCs w:val="84"/>
          <w:lang w:val="en-US" w:eastAsia="zh-CN"/>
        </w:rPr>
        <w:t>行政许可</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0"/>
          <w:sz w:val="84"/>
          <w:szCs w:val="84"/>
        </w:rPr>
      </w:pPr>
      <w:r>
        <w:rPr>
          <w:rFonts w:hint="eastAsia" w:ascii="隶书" w:hAnsi="宋体" w:eastAsia="隶书" w:cs="宋体"/>
          <w:b/>
          <w:bCs/>
          <w:spacing w:val="0"/>
          <w:sz w:val="84"/>
          <w:szCs w:val="84"/>
          <w:lang w:val="en-US" w:eastAsia="zh-CN"/>
        </w:rPr>
        <w:t>现场</w:t>
      </w:r>
      <w:r>
        <w:rPr>
          <w:rFonts w:hint="eastAsia" w:ascii="隶书" w:hAnsi="宋体" w:eastAsia="隶书" w:cs="宋体"/>
          <w:b/>
          <w:bCs/>
          <w:spacing w:val="0"/>
          <w:sz w:val="84"/>
          <w:szCs w:val="84"/>
        </w:rPr>
        <w:t>鉴定评审指南</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隶书" w:hAnsi="宋体" w:eastAsia="隶书" w:cs="宋体"/>
          <w:b/>
          <w:bCs/>
          <w:spacing w:val="3"/>
          <w:sz w:val="84"/>
          <w:szCs w:val="84"/>
        </w:rPr>
      </w:pPr>
      <w:r>
        <w:rPr>
          <w:rFonts w:hint="eastAsia" w:ascii="隶书" w:hAnsi="宋体" w:eastAsia="隶书" w:cs="宋体"/>
          <w:b/>
          <w:bCs/>
          <w:spacing w:val="3"/>
          <w:sz w:val="84"/>
          <w:szCs w:val="84"/>
        </w:rPr>
        <w:t>第</w:t>
      </w:r>
      <w:r>
        <w:rPr>
          <w:rFonts w:hint="eastAsia" w:ascii="隶书" w:hAnsi="宋体" w:eastAsia="隶书" w:cs="宋体"/>
          <w:b/>
          <w:bCs/>
          <w:spacing w:val="3"/>
          <w:sz w:val="72"/>
          <w:szCs w:val="72"/>
        </w:rPr>
        <w:t>9</w:t>
      </w:r>
      <w:r>
        <w:rPr>
          <w:rFonts w:hint="eastAsia" w:ascii="隶书" w:hAnsi="宋体" w:eastAsia="隶书" w:cs="宋体"/>
          <w:b/>
          <w:bCs/>
          <w:spacing w:val="3"/>
          <w:sz w:val="84"/>
          <w:szCs w:val="84"/>
        </w:rPr>
        <w:t>部分 专用指南</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隶书" w:hAnsi="宋体" w:eastAsia="隶书" w:cs="宋体"/>
          <w:b/>
          <w:bCs/>
          <w:spacing w:val="3"/>
          <w:sz w:val="84"/>
          <w:szCs w:val="84"/>
        </w:rPr>
      </w:pPr>
      <w:r>
        <w:rPr>
          <w:rFonts w:hint="eastAsia" w:ascii="隶书" w:hAnsi="宋体" w:eastAsia="隶书" w:cs="宋体"/>
          <w:b/>
          <w:bCs/>
          <w:sz w:val="84"/>
          <w:szCs w:val="84"/>
        </w:rPr>
        <w:t>压力管道元件制造单位</w:t>
      </w:r>
    </w:p>
    <w:p>
      <w:pPr>
        <w:jc w:val="center"/>
        <w:rPr>
          <w:rFonts w:ascii="宋体" w:hAnsi="宋体"/>
          <w:b/>
          <w:bCs/>
          <w:sz w:val="32"/>
          <w:szCs w:val="32"/>
        </w:rPr>
      </w:pPr>
    </w:p>
    <w:p>
      <w:pPr>
        <w:jc w:val="center"/>
        <w:rPr>
          <w:rFonts w:eastAsia="隶书"/>
          <w:b/>
          <w:bCs/>
          <w:sz w:val="36"/>
        </w:rPr>
      </w:pPr>
    </w:p>
    <w:p>
      <w:pPr>
        <w:jc w:val="center"/>
        <w:rPr>
          <w:rFonts w:eastAsia="隶书"/>
          <w:b/>
          <w:bCs/>
          <w:sz w:val="36"/>
        </w:rPr>
      </w:pPr>
    </w:p>
    <w:p>
      <w:pPr>
        <w:jc w:val="center"/>
        <w:rPr>
          <w:rFonts w:eastAsia="隶书"/>
          <w:b/>
          <w:bCs/>
          <w:sz w:val="36"/>
        </w:rPr>
      </w:pPr>
    </w:p>
    <w:p>
      <w:pPr>
        <w:spacing w:line="360" w:lineRule="auto"/>
        <w:jc w:val="left"/>
        <w:rPr>
          <w:rFonts w:hint="eastAsia" w:ascii="隶书" w:hAnsi="黑体" w:eastAsia="隶书"/>
          <w:sz w:val="52"/>
          <w:szCs w:val="52"/>
        </w:rPr>
      </w:pPr>
      <w:r>
        <w:rPr>
          <w:rFonts w:hint="eastAsia" w:ascii="隶书" w:hAnsi="黑体" w:eastAsia="隶书"/>
          <w:sz w:val="52"/>
          <w:szCs w:val="52"/>
        </w:rPr>
        <w:t xml:space="preserve">          </w:t>
      </w:r>
    </w:p>
    <w:p>
      <w:pPr>
        <w:spacing w:line="360" w:lineRule="auto"/>
        <w:jc w:val="left"/>
        <w:rPr>
          <w:rFonts w:hint="eastAsia" w:ascii="隶书" w:hAnsi="黑体" w:eastAsia="隶书"/>
          <w:sz w:val="52"/>
          <w:szCs w:val="52"/>
        </w:rPr>
      </w:pPr>
    </w:p>
    <w:p>
      <w:pPr>
        <w:spacing w:line="360" w:lineRule="auto"/>
        <w:jc w:val="left"/>
        <w:rPr>
          <w:rFonts w:ascii="隶书" w:hAnsi="黑体" w:eastAsia="隶书"/>
          <w:sz w:val="52"/>
          <w:szCs w:val="52"/>
        </w:rPr>
      </w:pPr>
      <w:bookmarkStart w:id="9" w:name="_GoBack"/>
      <w:bookmarkEnd w:id="9"/>
      <w:r>
        <w:rPr>
          <w:rFonts w:hint="eastAsia" w:ascii="隶书" w:hAnsi="黑体" w:eastAsia="隶书"/>
          <w:sz w:val="52"/>
          <w:szCs w:val="52"/>
        </w:rPr>
        <w:t xml:space="preserve"> </w:t>
      </w:r>
    </w:p>
    <w:p>
      <w:pPr>
        <w:jc w:val="center"/>
        <w:rPr>
          <w:rFonts w:eastAsia="隶书"/>
          <w:b/>
          <w:bCs/>
          <w:sz w:val="30"/>
        </w:rPr>
      </w:pPr>
    </w:p>
    <w:p>
      <w:pPr>
        <w:tabs>
          <w:tab w:val="left" w:pos="3820"/>
        </w:tabs>
        <w:jc w:val="left"/>
        <w:rPr>
          <w:rFonts w:eastAsia="隶书"/>
          <w:b/>
          <w:bCs/>
          <w:sz w:val="30"/>
        </w:rPr>
      </w:pPr>
      <w:r>
        <w:rPr>
          <w:rFonts w:hint="eastAsia" w:eastAsia="隶书"/>
          <w:b/>
          <w:bCs/>
          <w:sz w:val="30"/>
        </w:rPr>
        <w:tab/>
      </w:r>
    </w:p>
    <w:p>
      <w:pPr>
        <w:jc w:val="center"/>
        <w:rPr>
          <w:rFonts w:eastAsia="隶书"/>
          <w:spacing w:val="-6"/>
          <w:sz w:val="32"/>
        </w:rPr>
      </w:pPr>
      <w:r>
        <w:rPr>
          <w:rFonts w:hint="eastAsia" w:eastAsia="隶书"/>
          <w:b/>
          <w:sz w:val="48"/>
        </w:rPr>
        <w:t>湖南省特种设备协会</w:t>
      </w:r>
    </w:p>
    <w:p>
      <w:pPr>
        <w:spacing w:before="312" w:beforeLines="100" w:after="100" w:afterAutospacing="1" w:line="400" w:lineRule="exact"/>
        <w:jc w:val="center"/>
        <w:outlineLvl w:val="0"/>
        <w:rPr>
          <w:rFonts w:hint="eastAsia" w:ascii="黑体" w:hAnsi="黑体" w:eastAsia="黑体"/>
          <w:b/>
          <w:sz w:val="32"/>
          <w:szCs w:val="32"/>
          <w:lang w:eastAsia="zh-CN"/>
        </w:rPr>
      </w:pPr>
      <w:bookmarkStart w:id="0" w:name="OLE_LINK53"/>
      <w:bookmarkStart w:id="1" w:name="OLE_LINK54"/>
      <w:r>
        <w:rPr>
          <w:rFonts w:hint="eastAsia" w:ascii="黑体" w:hAnsi="黑体" w:eastAsia="黑体"/>
          <w:b/>
          <w:sz w:val="32"/>
          <w:szCs w:val="32"/>
          <w:lang w:eastAsia="zh-CN"/>
        </w:rPr>
        <w:t>特种设备行政许可现场鉴定评审指南</w:t>
      </w:r>
    </w:p>
    <w:p>
      <w:pPr>
        <w:spacing w:before="312" w:beforeLines="100" w:after="100" w:afterAutospacing="1" w:line="400" w:lineRule="exact"/>
        <w:jc w:val="center"/>
        <w:outlineLvl w:val="0"/>
        <w:rPr>
          <w:rFonts w:ascii="黑体" w:hAnsi="黑体" w:eastAsia="黑体"/>
          <w:b/>
          <w:sz w:val="32"/>
          <w:szCs w:val="32"/>
        </w:rPr>
      </w:pPr>
      <w:r>
        <w:rPr>
          <w:rFonts w:hint="eastAsia" w:ascii="黑体" w:hAnsi="黑体" w:eastAsia="黑体"/>
          <w:b/>
          <w:sz w:val="32"/>
          <w:szCs w:val="32"/>
        </w:rPr>
        <w:t>第9部分 专用指南 压力管道元件制造单位</w:t>
      </w:r>
    </w:p>
    <w:bookmarkEnd w:id="0"/>
    <w:bookmarkEnd w:id="1"/>
    <w:p>
      <w:pPr>
        <w:spacing w:line="480" w:lineRule="auto"/>
        <w:outlineLvl w:val="0"/>
        <w:rPr>
          <w:rFonts w:ascii="宋体" w:hAnsi="宋体" w:cs="黑体"/>
          <w:b/>
          <w:sz w:val="24"/>
        </w:rPr>
      </w:pPr>
      <w:bookmarkStart w:id="2" w:name="OLE_LINK124"/>
      <w:bookmarkStart w:id="3" w:name="OLE_LINK125"/>
      <w:r>
        <w:rPr>
          <w:rFonts w:hint="eastAsia" w:ascii="宋体" w:hAnsi="宋体" w:cs="黑体"/>
          <w:b/>
          <w:sz w:val="24"/>
        </w:rPr>
        <w:t>1  范围</w:t>
      </w:r>
    </w:p>
    <w:bookmarkEnd w:id="2"/>
    <w:bookmarkEnd w:id="3"/>
    <w:p>
      <w:pPr>
        <w:spacing w:line="360" w:lineRule="auto"/>
        <w:ind w:firstLine="480" w:firstLineChars="200"/>
        <w:rPr>
          <w:rFonts w:ascii="宋体" w:hAnsi="宋体"/>
          <w:sz w:val="24"/>
        </w:rPr>
      </w:pPr>
      <w:r>
        <w:rPr>
          <w:rFonts w:hint="eastAsia" w:ascii="宋体" w:hAnsi="宋体"/>
          <w:sz w:val="24"/>
        </w:rPr>
        <w:t>本部分为</w:t>
      </w:r>
      <w:r>
        <w:rPr>
          <w:rFonts w:hint="eastAsia" w:ascii="宋体" w:hAnsi="宋体"/>
          <w:sz w:val="24"/>
          <w:lang w:eastAsia="zh-CN"/>
        </w:rPr>
        <w:t>特种设备行政许可现场鉴定评审指南</w:t>
      </w:r>
      <w:r>
        <w:rPr>
          <w:rFonts w:hint="eastAsia" w:ascii="宋体" w:hAnsi="宋体"/>
          <w:sz w:val="24"/>
        </w:rPr>
        <w:t>第9部分 专用指南 压力管道元件制造单位。</w:t>
      </w:r>
    </w:p>
    <w:p>
      <w:pPr>
        <w:spacing w:line="360" w:lineRule="auto"/>
        <w:ind w:firstLine="480" w:firstLineChars="200"/>
        <w:rPr>
          <w:rFonts w:ascii="宋体" w:hAnsi="宋体"/>
          <w:sz w:val="24"/>
        </w:rPr>
      </w:pPr>
      <w:r>
        <w:rPr>
          <w:rFonts w:hint="eastAsia" w:ascii="宋体" w:hAnsi="宋体"/>
          <w:sz w:val="24"/>
        </w:rPr>
        <w:t>本部分规定了</w:t>
      </w:r>
      <w:bookmarkStart w:id="4" w:name="OLE_LINK36"/>
      <w:bookmarkStart w:id="5" w:name="OLE_LINK35"/>
      <w:r>
        <w:rPr>
          <w:rFonts w:hint="eastAsia" w:ascii="宋体" w:hAnsi="宋体"/>
          <w:sz w:val="24"/>
        </w:rPr>
        <w:t>压力管道元件制造单位鉴定评审的程序、整改及整改结果确认、需要配合的事项等方面的基本要求。</w:t>
      </w:r>
    </w:p>
    <w:p>
      <w:pPr>
        <w:spacing w:line="360" w:lineRule="auto"/>
        <w:ind w:firstLine="480" w:firstLineChars="200"/>
        <w:rPr>
          <w:rFonts w:ascii="宋体" w:hAnsi="宋体"/>
          <w:sz w:val="24"/>
        </w:rPr>
      </w:pPr>
      <w:r>
        <w:rPr>
          <w:rFonts w:hint="eastAsia" w:ascii="宋体" w:hAnsi="宋体"/>
          <w:sz w:val="24"/>
        </w:rPr>
        <w:t>本部分仅适用于以下在湖南省内实施的压力管道元件制造许可项目（含取证、增项、换证、变更）鉴定评审：</w:t>
      </w:r>
    </w:p>
    <w:p>
      <w:pPr>
        <w:spacing w:line="360" w:lineRule="auto"/>
        <w:ind w:firstLine="480" w:firstLineChars="200"/>
        <w:rPr>
          <w:rFonts w:ascii="宋体" w:hAnsi="宋体"/>
          <w:sz w:val="24"/>
        </w:rPr>
      </w:pPr>
      <w:r>
        <w:rPr>
          <w:rFonts w:hint="eastAsia" w:ascii="宋体" w:hAnsi="宋体"/>
          <w:sz w:val="24"/>
        </w:rPr>
        <w:t>1）压力管道管子（A、B）；</w:t>
      </w:r>
    </w:p>
    <w:p>
      <w:pPr>
        <w:spacing w:line="360" w:lineRule="auto"/>
        <w:ind w:firstLine="480" w:firstLineChars="200"/>
        <w:rPr>
          <w:rFonts w:ascii="宋体" w:hAnsi="宋体"/>
          <w:sz w:val="24"/>
        </w:rPr>
      </w:pPr>
      <w:r>
        <w:rPr>
          <w:rFonts w:hint="eastAsia" w:ascii="宋体" w:hAnsi="宋体"/>
          <w:sz w:val="24"/>
        </w:rPr>
        <w:t>2）压力管道阀门（A</w:t>
      </w:r>
      <w:r>
        <w:rPr>
          <w:rFonts w:ascii="宋体" w:hAnsi="宋体"/>
          <w:sz w:val="24"/>
        </w:rPr>
        <w:t>1</w:t>
      </w:r>
      <w:r>
        <w:rPr>
          <w:rFonts w:hint="eastAsia" w:ascii="宋体" w:hAnsi="宋体"/>
          <w:sz w:val="24"/>
        </w:rPr>
        <w:t>、A</w:t>
      </w:r>
      <w:r>
        <w:rPr>
          <w:rFonts w:ascii="宋体" w:hAnsi="宋体"/>
          <w:sz w:val="24"/>
        </w:rPr>
        <w:t>2</w:t>
      </w:r>
      <w:r>
        <w:rPr>
          <w:rFonts w:hint="eastAsia" w:ascii="宋体" w:hAnsi="宋体"/>
          <w:sz w:val="24"/>
        </w:rPr>
        <w:t>、B）；</w:t>
      </w:r>
    </w:p>
    <w:p>
      <w:pPr>
        <w:spacing w:line="360" w:lineRule="auto"/>
        <w:ind w:firstLine="480" w:firstLineChars="200"/>
        <w:rPr>
          <w:rFonts w:ascii="宋体" w:hAnsi="宋体"/>
          <w:sz w:val="24"/>
        </w:rPr>
      </w:pPr>
      <w:r>
        <w:rPr>
          <w:rFonts w:hint="eastAsia" w:ascii="宋体" w:hAnsi="宋体"/>
          <w:sz w:val="24"/>
        </w:rPr>
        <w:t>3）压力管道管件（无缝管件（B1、B2）、有缝管件（B1、B2）、锻制管件、聚乙烯管件）；</w:t>
      </w:r>
    </w:p>
    <w:p>
      <w:pPr>
        <w:spacing w:line="360" w:lineRule="auto"/>
        <w:ind w:firstLine="480" w:firstLineChars="200"/>
        <w:rPr>
          <w:rFonts w:ascii="宋体" w:hAnsi="宋体"/>
          <w:sz w:val="24"/>
        </w:rPr>
      </w:pPr>
      <w:r>
        <w:rPr>
          <w:rFonts w:hint="eastAsia" w:ascii="宋体" w:hAnsi="宋体"/>
          <w:sz w:val="24"/>
        </w:rPr>
        <w:t>4）压力管道法兰（钢制锻造法兰）；</w:t>
      </w:r>
    </w:p>
    <w:p>
      <w:pPr>
        <w:spacing w:line="360" w:lineRule="auto"/>
        <w:ind w:firstLine="480" w:firstLineChars="200"/>
        <w:rPr>
          <w:rFonts w:ascii="宋体" w:hAnsi="宋体"/>
          <w:sz w:val="24"/>
        </w:rPr>
      </w:pPr>
      <w:r>
        <w:rPr>
          <w:rFonts w:hint="eastAsia" w:ascii="宋体" w:hAnsi="宋体"/>
          <w:sz w:val="24"/>
        </w:rPr>
        <w:t>5）补偿器（金属波纹膨胀节（B1、B2））；</w:t>
      </w:r>
    </w:p>
    <w:p>
      <w:pPr>
        <w:spacing w:line="360" w:lineRule="auto"/>
        <w:ind w:firstLine="480" w:firstLineChars="200"/>
        <w:rPr>
          <w:rFonts w:ascii="宋体" w:hAnsi="宋体"/>
          <w:sz w:val="24"/>
        </w:rPr>
      </w:pPr>
      <w:r>
        <w:rPr>
          <w:rFonts w:hint="eastAsia" w:ascii="宋体" w:hAnsi="宋体"/>
          <w:sz w:val="24"/>
        </w:rPr>
        <w:t>6）元件组合装。</w:t>
      </w:r>
    </w:p>
    <w:bookmarkEnd w:id="4"/>
    <w:bookmarkEnd w:id="5"/>
    <w:p>
      <w:pPr>
        <w:spacing w:line="480" w:lineRule="auto"/>
        <w:outlineLvl w:val="0"/>
        <w:rPr>
          <w:rFonts w:ascii="宋体" w:hAnsi="宋体" w:cs="黑体"/>
          <w:b/>
          <w:sz w:val="24"/>
        </w:rPr>
      </w:pPr>
      <w:r>
        <w:rPr>
          <w:rFonts w:hint="eastAsia" w:ascii="宋体" w:hAnsi="宋体" w:cs="黑体"/>
          <w:b/>
          <w:sz w:val="24"/>
        </w:rPr>
        <w:t xml:space="preserve">2  引用文件 </w:t>
      </w:r>
    </w:p>
    <w:p>
      <w:pPr>
        <w:spacing w:line="360" w:lineRule="auto"/>
        <w:ind w:firstLine="480" w:firstLineChars="200"/>
        <w:rPr>
          <w:rFonts w:ascii="宋体" w:hAnsi="宋体"/>
          <w:sz w:val="24"/>
        </w:rPr>
      </w:pPr>
      <w:r>
        <w:rPr>
          <w:rFonts w:hint="eastAsia" w:ascii="宋体" w:hAnsi="宋体"/>
          <w:sz w:val="24"/>
        </w:rPr>
        <w:t>2.1  特种设备安全法</w:t>
      </w:r>
    </w:p>
    <w:p>
      <w:pPr>
        <w:spacing w:line="360" w:lineRule="auto"/>
        <w:ind w:firstLine="480" w:firstLineChars="200"/>
        <w:rPr>
          <w:rFonts w:ascii="宋体" w:hAnsi="宋体"/>
          <w:sz w:val="24"/>
        </w:rPr>
      </w:pPr>
      <w:r>
        <w:rPr>
          <w:rFonts w:hint="eastAsia" w:ascii="宋体" w:hAnsi="宋体"/>
          <w:sz w:val="24"/>
        </w:rPr>
        <w:t>2.2  特种设备安全监察条例</w:t>
      </w:r>
    </w:p>
    <w:p>
      <w:pPr>
        <w:spacing w:line="360" w:lineRule="auto"/>
        <w:ind w:firstLine="480" w:firstLineChars="200"/>
        <w:rPr>
          <w:rFonts w:ascii="宋体" w:hAnsi="宋体"/>
          <w:sz w:val="24"/>
        </w:rPr>
      </w:pPr>
      <w:r>
        <w:rPr>
          <w:rFonts w:hint="eastAsia" w:ascii="宋体" w:hAnsi="宋体"/>
          <w:sz w:val="24"/>
        </w:rPr>
        <w:t xml:space="preserve">2.3 </w:t>
      </w:r>
      <w:bookmarkStart w:id="6" w:name="OLE_LINK115"/>
      <w:bookmarkStart w:id="7" w:name="OLE_LINK114"/>
      <w:r>
        <w:rPr>
          <w:rFonts w:hint="eastAsia" w:ascii="宋体" w:hAnsi="宋体"/>
          <w:sz w:val="24"/>
        </w:rPr>
        <w:t xml:space="preserve"> </w:t>
      </w:r>
      <w:bookmarkEnd w:id="6"/>
      <w:bookmarkEnd w:id="7"/>
      <w:r>
        <w:rPr>
          <w:rFonts w:hint="eastAsia" w:ascii="宋体" w:hAnsi="宋体"/>
          <w:sz w:val="24"/>
        </w:rPr>
        <w:t>TSG 07-2019</w:t>
      </w:r>
      <w:bookmarkStart w:id="8" w:name="OLE_LINK119"/>
      <w:r>
        <w:rPr>
          <w:rFonts w:hint="eastAsia" w:ascii="宋体" w:hAnsi="宋体"/>
          <w:sz w:val="24"/>
        </w:rPr>
        <w:t xml:space="preserve"> 特种设备生产和充装单位许可</w:t>
      </w:r>
      <w:bookmarkEnd w:id="8"/>
      <w:r>
        <w:rPr>
          <w:rFonts w:hint="eastAsia" w:ascii="宋体" w:hAnsi="宋体"/>
          <w:sz w:val="24"/>
        </w:rPr>
        <w:t>规则</w:t>
      </w:r>
    </w:p>
    <w:p>
      <w:pPr>
        <w:spacing w:line="360" w:lineRule="auto"/>
        <w:ind w:firstLine="480" w:firstLineChars="200"/>
        <w:rPr>
          <w:rFonts w:ascii="宋体" w:hAnsi="宋体"/>
          <w:sz w:val="24"/>
        </w:rPr>
      </w:pPr>
      <w:r>
        <w:rPr>
          <w:rFonts w:hint="eastAsia" w:ascii="宋体" w:hAnsi="宋体"/>
          <w:sz w:val="24"/>
        </w:rPr>
        <w:t>2.4  TSG D0001-2009 压力管道安全技术监察规程</w:t>
      </w:r>
    </w:p>
    <w:p>
      <w:pPr>
        <w:spacing w:line="360" w:lineRule="auto"/>
        <w:ind w:firstLine="480" w:firstLineChars="200"/>
        <w:rPr>
          <w:rFonts w:ascii="宋体" w:hAnsi="宋体"/>
          <w:sz w:val="24"/>
        </w:rPr>
      </w:pPr>
      <w:r>
        <w:rPr>
          <w:rFonts w:hint="eastAsia" w:ascii="宋体" w:hAnsi="宋体"/>
          <w:sz w:val="24"/>
        </w:rPr>
        <w:t xml:space="preserve">2.5  XTJPS/ZN-JXC-2022 </w:t>
      </w:r>
      <w:r>
        <w:rPr>
          <w:rFonts w:hint="eastAsia" w:ascii="宋体" w:hAnsi="宋体"/>
          <w:sz w:val="24"/>
          <w:lang w:eastAsia="zh-CN"/>
        </w:rPr>
        <w:t>特种设备行政许可现场鉴定评审指南</w:t>
      </w:r>
      <w:r>
        <w:rPr>
          <w:rFonts w:hint="eastAsia" w:ascii="宋体" w:hAnsi="宋体"/>
          <w:sz w:val="24"/>
        </w:rPr>
        <w:t xml:space="preserve"> 第1部分 通用指南 基本程序和要求</w:t>
      </w:r>
    </w:p>
    <w:p>
      <w:pPr>
        <w:spacing w:line="360" w:lineRule="auto"/>
        <w:ind w:firstLine="480" w:firstLineChars="200"/>
        <w:rPr>
          <w:rFonts w:ascii="宋体" w:hAnsi="宋体"/>
          <w:sz w:val="24"/>
        </w:rPr>
      </w:pPr>
      <w:r>
        <w:rPr>
          <w:rFonts w:hint="eastAsia" w:ascii="宋体" w:hAnsi="宋体"/>
          <w:sz w:val="24"/>
        </w:rPr>
        <w:t>2.6  其他与特种设备有关的法规标准</w:t>
      </w:r>
    </w:p>
    <w:p>
      <w:pPr>
        <w:tabs>
          <w:tab w:val="left" w:pos="2490"/>
        </w:tabs>
        <w:spacing w:line="480" w:lineRule="auto"/>
        <w:outlineLvl w:val="0"/>
        <w:rPr>
          <w:rFonts w:ascii="宋体" w:hAnsi="宋体" w:cs="黑体"/>
          <w:b/>
          <w:sz w:val="24"/>
        </w:rPr>
      </w:pPr>
      <w:r>
        <w:rPr>
          <w:rFonts w:hint="eastAsia" w:ascii="宋体" w:hAnsi="宋体" w:cs="黑体"/>
          <w:b/>
          <w:sz w:val="24"/>
        </w:rPr>
        <w:t xml:space="preserve">3  术语 </w:t>
      </w:r>
      <w:r>
        <w:rPr>
          <w:rFonts w:hint="eastAsia" w:ascii="宋体" w:hAnsi="宋体" w:cs="黑体"/>
          <w:b/>
          <w:sz w:val="24"/>
        </w:rPr>
        <w:tab/>
      </w:r>
    </w:p>
    <w:p>
      <w:pPr>
        <w:spacing w:line="360" w:lineRule="auto"/>
        <w:ind w:firstLine="480" w:firstLineChars="200"/>
        <w:rPr>
          <w:rFonts w:ascii="宋体" w:hAnsi="宋体"/>
          <w:sz w:val="24"/>
        </w:rPr>
      </w:pPr>
      <w:r>
        <w:rPr>
          <w:rFonts w:hint="eastAsia" w:ascii="宋体" w:hAnsi="宋体"/>
          <w:sz w:val="24"/>
        </w:rPr>
        <w:t>本指南采用上述引用文件中界定的术语和定义。</w:t>
      </w:r>
    </w:p>
    <w:p>
      <w:pPr>
        <w:tabs>
          <w:tab w:val="left" w:pos="2490"/>
        </w:tabs>
        <w:spacing w:line="480" w:lineRule="auto"/>
        <w:outlineLvl w:val="0"/>
        <w:rPr>
          <w:rFonts w:ascii="宋体" w:hAnsi="宋体" w:cs="黑体"/>
          <w:b/>
          <w:sz w:val="24"/>
        </w:rPr>
      </w:pPr>
      <w:r>
        <w:rPr>
          <w:rFonts w:hint="eastAsia" w:ascii="宋体" w:hAnsi="宋体" w:cs="黑体"/>
          <w:b/>
          <w:sz w:val="24"/>
        </w:rPr>
        <w:t>4  现场鉴定评审程序</w:t>
      </w:r>
    </w:p>
    <w:p>
      <w:pPr>
        <w:spacing w:line="360" w:lineRule="auto"/>
        <w:ind w:firstLine="480" w:firstLineChars="200"/>
        <w:rPr>
          <w:rFonts w:ascii="宋体" w:hAnsi="宋体"/>
          <w:sz w:val="24"/>
        </w:rPr>
      </w:pPr>
      <w:r>
        <w:rPr>
          <w:rFonts w:hint="eastAsia" w:ascii="宋体" w:hAnsi="宋体"/>
          <w:sz w:val="24"/>
        </w:rPr>
        <w:t>现场鉴定评审程序除本指南第1部分通用指南要求的基本程序外，还应当符合以下要求。</w:t>
      </w:r>
    </w:p>
    <w:p>
      <w:pPr>
        <w:spacing w:line="360" w:lineRule="auto"/>
        <w:ind w:firstLine="480" w:firstLineChars="200"/>
        <w:rPr>
          <w:rFonts w:ascii="宋体" w:hAnsi="宋体"/>
          <w:sz w:val="24"/>
        </w:rPr>
      </w:pPr>
      <w:r>
        <w:rPr>
          <w:rFonts w:hint="eastAsia" w:ascii="宋体" w:hAnsi="宋体"/>
          <w:sz w:val="24"/>
        </w:rPr>
        <w:t>4.1 评审工作安排</w:t>
      </w:r>
    </w:p>
    <w:p>
      <w:pPr>
        <w:spacing w:line="360" w:lineRule="auto"/>
        <w:ind w:firstLine="480" w:firstLineChars="200"/>
        <w:rPr>
          <w:rFonts w:ascii="宋体" w:hAnsi="宋体"/>
          <w:sz w:val="24"/>
        </w:rPr>
      </w:pPr>
      <w:r>
        <w:rPr>
          <w:rFonts w:hint="eastAsia" w:ascii="宋体" w:hAnsi="宋体"/>
          <w:sz w:val="24"/>
        </w:rPr>
        <w:t>4.1.1 现场评审的时间一般为2～3日。</w:t>
      </w:r>
    </w:p>
    <w:p>
      <w:pPr>
        <w:spacing w:line="360" w:lineRule="auto"/>
        <w:ind w:firstLine="480" w:firstLineChars="200"/>
        <w:rPr>
          <w:rFonts w:ascii="宋体" w:hAnsi="宋体"/>
          <w:sz w:val="24"/>
        </w:rPr>
      </w:pPr>
      <w:r>
        <w:rPr>
          <w:rFonts w:hint="eastAsia" w:ascii="宋体" w:hAnsi="宋体"/>
          <w:sz w:val="24"/>
        </w:rPr>
        <w:t>4.1.2 现场评审的人数：一般为3～4人。</w:t>
      </w:r>
    </w:p>
    <w:p>
      <w:pPr>
        <w:spacing w:line="360" w:lineRule="auto"/>
        <w:ind w:firstLine="480" w:firstLineChars="200"/>
        <w:rPr>
          <w:rFonts w:ascii="宋体" w:hAnsi="宋体"/>
          <w:sz w:val="24"/>
        </w:rPr>
      </w:pPr>
      <w:r>
        <w:rPr>
          <w:rFonts w:hint="eastAsia" w:ascii="宋体" w:hAnsi="宋体"/>
          <w:sz w:val="24"/>
        </w:rPr>
        <w:t>4.1.3 遇特殊情况，如换证+增项项目过多、同时换证或取证项目多，可酌情增加评审时间或评审人数。</w:t>
      </w:r>
    </w:p>
    <w:p>
      <w:pPr>
        <w:spacing w:line="360" w:lineRule="auto"/>
        <w:ind w:firstLine="480" w:firstLineChars="200"/>
        <w:rPr>
          <w:rFonts w:ascii="宋体" w:hAnsi="宋体"/>
          <w:sz w:val="24"/>
        </w:rPr>
      </w:pPr>
      <w:r>
        <w:rPr>
          <w:rFonts w:hint="eastAsia" w:ascii="宋体" w:hAnsi="宋体"/>
          <w:sz w:val="24"/>
        </w:rPr>
        <w:t>4.1.4评审组长到达现场后，对申请单位和评审人员进行必要的了解，对评审工作日程安排、评审人员分工、抽样等事项作必要的策划。</w:t>
      </w:r>
    </w:p>
    <w:p>
      <w:pPr>
        <w:spacing w:line="360" w:lineRule="auto"/>
        <w:ind w:firstLine="480" w:firstLineChars="200"/>
        <w:rPr>
          <w:rFonts w:ascii="宋体" w:hAnsi="宋体"/>
          <w:sz w:val="24"/>
        </w:rPr>
      </w:pPr>
      <w:r>
        <w:rPr>
          <w:rFonts w:hint="eastAsia" w:ascii="宋体" w:hAnsi="宋体"/>
          <w:sz w:val="24"/>
        </w:rPr>
        <w:t>评审组一般可分为资源条件组、质量管理体系组和产品安全性能组。资源条件组一般由评审组组长担任，其它组成员及人数由组长根据实际情况确定。</w:t>
      </w:r>
    </w:p>
    <w:p>
      <w:pPr>
        <w:spacing w:line="360" w:lineRule="auto"/>
        <w:ind w:firstLine="480" w:firstLineChars="200"/>
        <w:rPr>
          <w:rFonts w:ascii="宋体" w:hAnsi="宋体"/>
          <w:sz w:val="24"/>
        </w:rPr>
      </w:pPr>
      <w:r>
        <w:rPr>
          <w:rFonts w:hint="eastAsia" w:ascii="宋体" w:hAnsi="宋体"/>
          <w:sz w:val="24"/>
        </w:rPr>
        <w:t>4.1.5 在现场评审期间，提出申请的压力管道元件制造单位（以下简称申请单位）应确保单位负责人、质量保证工程师、质量控制系统责任人员等在评审现场，参与现场鉴定评审全过程，积极配合现场鉴定评审工作，并在《首/末次会议签到表》上签名。</w:t>
      </w:r>
    </w:p>
    <w:p>
      <w:pPr>
        <w:spacing w:line="360" w:lineRule="auto"/>
        <w:ind w:firstLine="480" w:firstLineChars="200"/>
        <w:rPr>
          <w:rFonts w:ascii="宋体" w:hAnsi="宋体"/>
          <w:sz w:val="24"/>
        </w:rPr>
      </w:pPr>
      <w:r>
        <w:rPr>
          <w:rFonts w:hint="eastAsia" w:ascii="宋体" w:hAnsi="宋体"/>
          <w:sz w:val="24"/>
        </w:rPr>
        <w:t>申请单位因无法克服的原因不能满足上述要求的，应当在与评审机构协商鉴定评审计划之前，向评审机构提交“责任人员不能到场参加现场评审的情况的说明”（内容至少包括责任人员姓名、身份证号、岗位、职称证和学历证明、不能到场原因等），得到评审机构批准后方可安排评审计划。如果申请单位未按规定向评审机构提出申请或申请未得到评审机构批准，且在现场评审时到场人员未达到上述要求的，则中止现场评审，由此引起的一切后果，均由申请单位承担。</w:t>
      </w:r>
    </w:p>
    <w:p>
      <w:pPr>
        <w:spacing w:line="360" w:lineRule="auto"/>
        <w:ind w:firstLine="480" w:firstLineChars="200"/>
        <w:rPr>
          <w:rFonts w:ascii="宋体" w:hAnsi="宋体"/>
          <w:sz w:val="24"/>
        </w:rPr>
      </w:pPr>
      <w:r>
        <w:rPr>
          <w:rFonts w:hint="eastAsia" w:ascii="宋体" w:hAnsi="宋体"/>
          <w:sz w:val="24"/>
        </w:rPr>
        <w:t>4.2 首次会议</w:t>
      </w:r>
    </w:p>
    <w:p>
      <w:pPr>
        <w:spacing w:line="360" w:lineRule="auto"/>
        <w:ind w:firstLine="480" w:firstLineChars="200"/>
        <w:rPr>
          <w:rFonts w:ascii="宋体" w:hAnsi="宋体"/>
          <w:sz w:val="24"/>
        </w:rPr>
      </w:pPr>
      <w:r>
        <w:rPr>
          <w:rFonts w:hint="eastAsia" w:ascii="宋体" w:hAnsi="宋体"/>
          <w:sz w:val="24"/>
        </w:rPr>
        <w:t>首次会议由评审组长主持，全体评审组成员、当地特种设备安全监督管理部门代表和申请单位有关人员参加。首次会议时间一般为 30～50 分钟，与会人员在《首次会议签到表》上签名。</w:t>
      </w:r>
    </w:p>
    <w:p>
      <w:pPr>
        <w:spacing w:line="360" w:lineRule="auto"/>
        <w:ind w:firstLine="480" w:firstLineChars="200"/>
        <w:rPr>
          <w:rFonts w:ascii="宋体" w:hAnsi="宋体"/>
          <w:sz w:val="24"/>
        </w:rPr>
      </w:pPr>
      <w:r>
        <w:rPr>
          <w:rFonts w:hint="eastAsia" w:ascii="宋体" w:hAnsi="宋体"/>
          <w:sz w:val="24"/>
        </w:rPr>
        <w:t xml:space="preserve">4.3 现场巡视 </w:t>
      </w:r>
    </w:p>
    <w:p>
      <w:pPr>
        <w:spacing w:line="360" w:lineRule="auto"/>
        <w:ind w:firstLine="480" w:firstLineChars="200"/>
        <w:rPr>
          <w:rFonts w:ascii="宋体" w:hAnsi="宋体"/>
          <w:sz w:val="24"/>
        </w:rPr>
      </w:pPr>
      <w:r>
        <w:rPr>
          <w:rFonts w:hint="eastAsia" w:ascii="宋体" w:hAnsi="宋体"/>
          <w:sz w:val="24"/>
        </w:rPr>
        <w:t>首次会议结束后，评审组巡视申请单位工作场所、生产设备与工艺装备、检测仪器与试验装置，是否与制造相适应，满足相关法规标准要求。</w:t>
      </w:r>
    </w:p>
    <w:p>
      <w:pPr>
        <w:spacing w:line="360" w:lineRule="auto"/>
        <w:ind w:firstLine="480" w:firstLineChars="200"/>
        <w:rPr>
          <w:rFonts w:ascii="宋体" w:hAnsi="宋体"/>
          <w:sz w:val="24"/>
        </w:rPr>
      </w:pPr>
      <w:r>
        <w:rPr>
          <w:rFonts w:hint="eastAsia" w:ascii="宋体" w:hAnsi="宋体"/>
          <w:sz w:val="24"/>
        </w:rPr>
        <w:t>4.4 分组评审</w:t>
      </w:r>
    </w:p>
    <w:p>
      <w:pPr>
        <w:spacing w:line="360" w:lineRule="auto"/>
        <w:ind w:firstLine="480" w:firstLineChars="200"/>
        <w:rPr>
          <w:rFonts w:ascii="宋体" w:hAnsi="宋体"/>
          <w:sz w:val="24"/>
        </w:rPr>
      </w:pPr>
      <w:r>
        <w:rPr>
          <w:rFonts w:hint="eastAsia" w:ascii="宋体" w:hAnsi="宋体"/>
          <w:sz w:val="24"/>
        </w:rPr>
        <w:t>4.4.1 资源条件的评审</w:t>
      </w:r>
    </w:p>
    <w:p>
      <w:pPr>
        <w:spacing w:line="360" w:lineRule="auto"/>
        <w:ind w:firstLine="480" w:firstLineChars="200"/>
        <w:rPr>
          <w:rFonts w:ascii="宋体" w:hAnsi="宋体"/>
          <w:sz w:val="24"/>
        </w:rPr>
      </w:pPr>
      <w:r>
        <w:rPr>
          <w:rFonts w:hint="eastAsia" w:ascii="宋体" w:hAnsi="宋体"/>
          <w:sz w:val="24"/>
        </w:rPr>
        <w:t>资源条件组对申请单位的资源条件进行评审，评审的内容包括：申请单位的经营许可、人员、工作场所、生产设备与工艺设备、检测仪器与试验装置、工作外委等。评审方法包括查阅见证、查看实物、交谈、观察所涉及领域的活动等。</w:t>
      </w:r>
    </w:p>
    <w:p>
      <w:pPr>
        <w:spacing w:line="360" w:lineRule="auto"/>
        <w:ind w:firstLine="480" w:firstLineChars="200"/>
        <w:rPr>
          <w:rFonts w:ascii="宋体" w:hAnsi="宋体"/>
          <w:sz w:val="24"/>
        </w:rPr>
      </w:pPr>
      <w:r>
        <w:rPr>
          <w:rFonts w:hint="eastAsia" w:ascii="宋体" w:hAnsi="宋体"/>
          <w:sz w:val="24"/>
        </w:rPr>
        <w:t xml:space="preserve">1）需要审查、核实的资料 </w:t>
      </w:r>
    </w:p>
    <w:p>
      <w:pPr>
        <w:spacing w:line="360" w:lineRule="auto"/>
        <w:ind w:firstLine="480" w:firstLineChars="200"/>
        <w:rPr>
          <w:rFonts w:ascii="宋体" w:hAnsi="宋体"/>
          <w:sz w:val="24"/>
        </w:rPr>
      </w:pPr>
      <w:r>
        <w:rPr>
          <w:rFonts w:hint="eastAsia" w:ascii="宋体" w:hAnsi="宋体"/>
          <w:sz w:val="24"/>
        </w:rPr>
        <w:t xml:space="preserve">——营业执照。 </w:t>
      </w:r>
    </w:p>
    <w:p>
      <w:pPr>
        <w:spacing w:line="360" w:lineRule="auto"/>
        <w:ind w:firstLine="480" w:firstLineChars="200"/>
        <w:rPr>
          <w:rFonts w:ascii="宋体" w:hAnsi="宋体"/>
          <w:sz w:val="24"/>
        </w:rPr>
      </w:pPr>
      <w:r>
        <w:rPr>
          <w:rFonts w:hint="eastAsia" w:ascii="宋体" w:hAnsi="宋体"/>
          <w:sz w:val="24"/>
        </w:rPr>
        <w:t xml:space="preserve">——质量保证工程师和质量控制系统责任人员的任命文件。 </w:t>
      </w:r>
    </w:p>
    <w:p>
      <w:pPr>
        <w:spacing w:line="360" w:lineRule="auto"/>
        <w:ind w:firstLine="480" w:firstLineChars="200"/>
        <w:rPr>
          <w:rFonts w:ascii="宋体" w:hAnsi="宋体"/>
          <w:sz w:val="24"/>
        </w:rPr>
      </w:pPr>
      <w:r>
        <w:rPr>
          <w:rFonts w:hint="eastAsia" w:ascii="宋体" w:hAnsi="宋体"/>
          <w:sz w:val="24"/>
        </w:rPr>
        <w:t xml:space="preserve">——现有核准证书（原件）。 </w:t>
      </w:r>
    </w:p>
    <w:p>
      <w:pPr>
        <w:spacing w:line="360" w:lineRule="auto"/>
        <w:ind w:firstLine="480" w:firstLineChars="200"/>
        <w:rPr>
          <w:rFonts w:ascii="宋体" w:hAnsi="宋体"/>
          <w:sz w:val="24"/>
        </w:rPr>
      </w:pPr>
      <w:r>
        <w:rPr>
          <w:rFonts w:hint="eastAsia" w:ascii="宋体" w:hAnsi="宋体"/>
          <w:sz w:val="24"/>
        </w:rPr>
        <w:t xml:space="preserve">——资质延期申请的批复或延期核准证书。 </w:t>
      </w:r>
    </w:p>
    <w:p>
      <w:pPr>
        <w:spacing w:line="360" w:lineRule="auto"/>
        <w:ind w:firstLine="480" w:firstLineChars="200"/>
        <w:rPr>
          <w:rFonts w:ascii="宋体" w:hAnsi="宋体"/>
          <w:sz w:val="24"/>
        </w:rPr>
      </w:pPr>
      <w:r>
        <w:rPr>
          <w:rFonts w:hint="eastAsia" w:ascii="宋体" w:hAnsi="宋体"/>
          <w:sz w:val="24"/>
        </w:rPr>
        <w:t xml:space="preserve">——质量保证工程师、质量控制系统责任人员、技术人员的职称证和学历证明（原件）。 </w:t>
      </w:r>
    </w:p>
    <w:p>
      <w:pPr>
        <w:spacing w:line="360" w:lineRule="auto"/>
        <w:ind w:firstLine="480" w:firstLineChars="200"/>
        <w:rPr>
          <w:rFonts w:ascii="宋体" w:hAnsi="宋体"/>
          <w:sz w:val="24"/>
        </w:rPr>
      </w:pPr>
      <w:r>
        <w:rPr>
          <w:rFonts w:hint="eastAsia" w:ascii="宋体" w:hAnsi="宋体"/>
          <w:sz w:val="24"/>
        </w:rPr>
        <w:t xml:space="preserve">——焊工一览表和焊工证（原件）。 </w:t>
      </w:r>
    </w:p>
    <w:p>
      <w:pPr>
        <w:spacing w:line="360" w:lineRule="auto"/>
        <w:ind w:firstLine="480" w:firstLineChars="200"/>
        <w:rPr>
          <w:rFonts w:ascii="宋体" w:hAnsi="宋体"/>
          <w:sz w:val="24"/>
        </w:rPr>
      </w:pPr>
      <w:r>
        <w:rPr>
          <w:rFonts w:hint="eastAsia" w:ascii="宋体" w:hAnsi="宋体"/>
          <w:sz w:val="24"/>
        </w:rPr>
        <w:t>——无损检测人员一览表、无损检测资质证书和注册证书（原件）。</w:t>
      </w:r>
    </w:p>
    <w:p>
      <w:pPr>
        <w:spacing w:line="360" w:lineRule="auto"/>
        <w:ind w:firstLine="480" w:firstLineChars="200"/>
        <w:rPr>
          <w:rFonts w:ascii="宋体" w:hAnsi="宋体"/>
          <w:sz w:val="24"/>
        </w:rPr>
      </w:pPr>
      <w:r>
        <w:rPr>
          <w:rFonts w:hint="eastAsia" w:ascii="宋体" w:hAnsi="宋体"/>
          <w:sz w:val="24"/>
        </w:rPr>
        <w:t>——检验人员一览表。</w:t>
      </w:r>
    </w:p>
    <w:p>
      <w:pPr>
        <w:spacing w:line="360" w:lineRule="auto"/>
        <w:ind w:firstLine="480" w:firstLineChars="200"/>
        <w:rPr>
          <w:rFonts w:ascii="宋体" w:hAnsi="宋体"/>
          <w:sz w:val="24"/>
        </w:rPr>
      </w:pPr>
      <w:r>
        <w:rPr>
          <w:rFonts w:hint="eastAsia" w:ascii="宋体" w:hAnsi="宋体"/>
          <w:sz w:val="24"/>
        </w:rPr>
        <w:t xml:space="preserve">——以上人员的聘用合同等（原件）。 </w:t>
      </w:r>
    </w:p>
    <w:p>
      <w:pPr>
        <w:spacing w:line="360" w:lineRule="auto"/>
        <w:ind w:firstLine="480" w:firstLineChars="200"/>
        <w:rPr>
          <w:rFonts w:ascii="宋体" w:hAnsi="宋体"/>
          <w:sz w:val="24"/>
        </w:rPr>
      </w:pPr>
      <w:r>
        <w:rPr>
          <w:rFonts w:hint="eastAsia" w:ascii="宋体" w:hAnsi="宋体"/>
          <w:sz w:val="24"/>
        </w:rPr>
        <w:t xml:space="preserve">——生产设备、检测仪器与试验装置台账、发票、检定、校准证书（原件）等。 </w:t>
      </w:r>
    </w:p>
    <w:p>
      <w:pPr>
        <w:spacing w:line="360" w:lineRule="auto"/>
        <w:ind w:firstLine="480" w:firstLineChars="200"/>
        <w:rPr>
          <w:rFonts w:ascii="宋体" w:hAnsi="宋体"/>
          <w:sz w:val="24"/>
        </w:rPr>
      </w:pPr>
      <w:r>
        <w:rPr>
          <w:rFonts w:hint="eastAsia" w:ascii="宋体" w:hAnsi="宋体"/>
          <w:sz w:val="24"/>
        </w:rPr>
        <w:t xml:space="preserve">——土地使用证、房屋产权证、租赁合同等（原件）。 </w:t>
      </w:r>
    </w:p>
    <w:p>
      <w:pPr>
        <w:spacing w:line="360" w:lineRule="auto"/>
        <w:ind w:firstLine="480" w:firstLineChars="200"/>
        <w:rPr>
          <w:rFonts w:ascii="宋体" w:hAnsi="宋体"/>
          <w:sz w:val="24"/>
        </w:rPr>
      </w:pPr>
      <w:r>
        <w:rPr>
          <w:rFonts w:hint="eastAsia" w:ascii="宋体" w:hAnsi="宋体"/>
          <w:sz w:val="24"/>
        </w:rPr>
        <w:t xml:space="preserve">——需要提供本单位涉及特种设备生产（包括设计、制造、安装、改造、修理）、经营的各类行政许可证书。 </w:t>
      </w:r>
    </w:p>
    <w:p>
      <w:pPr>
        <w:spacing w:line="360" w:lineRule="auto"/>
        <w:ind w:firstLine="480" w:firstLineChars="200"/>
        <w:rPr>
          <w:rFonts w:ascii="宋体" w:hAnsi="宋体"/>
          <w:sz w:val="24"/>
        </w:rPr>
      </w:pPr>
      <w:r>
        <w:rPr>
          <w:rFonts w:hint="eastAsia" w:ascii="宋体" w:hAnsi="宋体"/>
          <w:sz w:val="24"/>
        </w:rPr>
        <w:t>——法规标准清单和正式版本法规标准。</w:t>
      </w:r>
    </w:p>
    <w:p>
      <w:pPr>
        <w:spacing w:line="360" w:lineRule="auto"/>
        <w:ind w:firstLine="480" w:firstLineChars="200"/>
        <w:rPr>
          <w:rFonts w:ascii="宋体" w:hAnsi="宋体"/>
          <w:sz w:val="24"/>
        </w:rPr>
      </w:pPr>
      <w:r>
        <w:rPr>
          <w:rFonts w:hint="eastAsia" w:ascii="宋体" w:hAnsi="宋体"/>
          <w:sz w:val="24"/>
        </w:rPr>
        <w:t>——工作外委合同和评价。</w:t>
      </w:r>
    </w:p>
    <w:p>
      <w:pPr>
        <w:spacing w:line="360" w:lineRule="auto"/>
        <w:ind w:firstLine="480" w:firstLineChars="200"/>
        <w:rPr>
          <w:rFonts w:ascii="宋体" w:hAnsi="宋体"/>
          <w:sz w:val="24"/>
        </w:rPr>
      </w:pPr>
      <w:r>
        <w:rPr>
          <w:rFonts w:hint="eastAsia" w:ascii="宋体" w:hAnsi="宋体"/>
          <w:sz w:val="24"/>
        </w:rPr>
        <w:t>——其它必要资料。</w:t>
      </w:r>
    </w:p>
    <w:p>
      <w:pPr>
        <w:spacing w:line="360" w:lineRule="auto"/>
        <w:ind w:firstLine="480" w:firstLineChars="200"/>
        <w:rPr>
          <w:rFonts w:ascii="宋体" w:hAnsi="宋体"/>
          <w:sz w:val="24"/>
        </w:rPr>
      </w:pPr>
      <w:r>
        <w:rPr>
          <w:rFonts w:hint="eastAsia" w:ascii="宋体" w:hAnsi="宋体"/>
          <w:sz w:val="24"/>
        </w:rPr>
        <w:t xml:space="preserve">2）需要查看的设备设施、工作场所 </w:t>
      </w:r>
    </w:p>
    <w:p>
      <w:pPr>
        <w:spacing w:line="360" w:lineRule="auto"/>
        <w:ind w:firstLine="480" w:firstLineChars="200"/>
        <w:rPr>
          <w:rFonts w:ascii="宋体" w:hAnsi="宋体"/>
          <w:sz w:val="24"/>
        </w:rPr>
      </w:pPr>
      <w:r>
        <w:rPr>
          <w:rFonts w:hint="eastAsia" w:ascii="宋体" w:hAnsi="宋体"/>
          <w:sz w:val="24"/>
        </w:rPr>
        <w:t>——计量器具的品种、数量、精度及状态。</w:t>
      </w:r>
    </w:p>
    <w:p>
      <w:pPr>
        <w:spacing w:line="360" w:lineRule="auto"/>
        <w:ind w:firstLine="480" w:firstLineChars="200"/>
        <w:rPr>
          <w:rFonts w:ascii="宋体" w:hAnsi="宋体"/>
          <w:sz w:val="24"/>
        </w:rPr>
      </w:pPr>
      <w:r>
        <w:rPr>
          <w:rFonts w:hint="eastAsia" w:ascii="宋体" w:hAnsi="宋体"/>
          <w:sz w:val="24"/>
        </w:rPr>
        <w:t>——工作场所。</w:t>
      </w:r>
    </w:p>
    <w:p>
      <w:pPr>
        <w:spacing w:line="360" w:lineRule="auto"/>
        <w:ind w:firstLine="480" w:firstLineChars="200"/>
        <w:rPr>
          <w:rFonts w:ascii="宋体" w:hAnsi="宋体"/>
          <w:sz w:val="24"/>
        </w:rPr>
      </w:pPr>
      <w:r>
        <w:rPr>
          <w:rFonts w:hint="eastAsia" w:ascii="宋体" w:hAnsi="宋体"/>
          <w:sz w:val="24"/>
        </w:rPr>
        <w:t>——生产设备与工艺装备。</w:t>
      </w:r>
    </w:p>
    <w:p>
      <w:pPr>
        <w:spacing w:line="360" w:lineRule="auto"/>
        <w:ind w:firstLine="480" w:firstLineChars="200"/>
        <w:rPr>
          <w:rFonts w:ascii="宋体" w:hAnsi="宋体"/>
          <w:sz w:val="24"/>
        </w:rPr>
      </w:pPr>
      <w:r>
        <w:rPr>
          <w:rFonts w:hint="eastAsia" w:ascii="宋体" w:hAnsi="宋体"/>
          <w:sz w:val="24"/>
        </w:rPr>
        <w:t>——检测仪器与试验装置。</w:t>
      </w:r>
    </w:p>
    <w:p>
      <w:pPr>
        <w:spacing w:line="360" w:lineRule="auto"/>
        <w:ind w:firstLine="480" w:firstLineChars="200"/>
        <w:rPr>
          <w:rFonts w:ascii="宋体" w:hAnsi="宋体"/>
          <w:sz w:val="24"/>
        </w:rPr>
      </w:pPr>
      <w:r>
        <w:rPr>
          <w:rFonts w:hint="eastAsia" w:ascii="宋体" w:hAnsi="宋体"/>
          <w:sz w:val="24"/>
        </w:rPr>
        <w:t xml:space="preserve">3）需要考核的人员 </w:t>
      </w:r>
    </w:p>
    <w:p>
      <w:pPr>
        <w:spacing w:line="360" w:lineRule="auto"/>
        <w:ind w:firstLine="480" w:firstLineChars="200"/>
        <w:rPr>
          <w:rFonts w:ascii="宋体" w:hAnsi="宋体"/>
          <w:sz w:val="24"/>
        </w:rPr>
      </w:pPr>
      <w:r>
        <w:rPr>
          <w:rFonts w:hint="eastAsia" w:ascii="宋体" w:hAnsi="宋体"/>
          <w:sz w:val="24"/>
        </w:rPr>
        <w:t>通过座谈、现场跟踪、查阅相关见证等方式，对申请单位负责人、质量保证工程师、质量控制系统责任人员、检验（测）人员的能力进行考察、评价。</w:t>
      </w:r>
    </w:p>
    <w:p>
      <w:pPr>
        <w:spacing w:line="360" w:lineRule="auto"/>
        <w:ind w:firstLine="480" w:firstLineChars="200"/>
        <w:rPr>
          <w:rFonts w:ascii="宋体" w:hAnsi="宋体"/>
          <w:sz w:val="24"/>
        </w:rPr>
      </w:pPr>
      <w:r>
        <w:rPr>
          <w:rFonts w:hint="eastAsia" w:ascii="宋体" w:hAnsi="宋体"/>
          <w:sz w:val="24"/>
        </w:rPr>
        <w:t>4.4.2 质量保证体系的评审</w:t>
      </w:r>
    </w:p>
    <w:p>
      <w:pPr>
        <w:spacing w:line="360" w:lineRule="auto"/>
        <w:ind w:firstLine="480" w:firstLineChars="200"/>
        <w:rPr>
          <w:rFonts w:ascii="宋体" w:hAnsi="宋体"/>
          <w:sz w:val="24"/>
        </w:rPr>
      </w:pPr>
      <w:r>
        <w:rPr>
          <w:rFonts w:hint="eastAsia" w:ascii="宋体" w:hAnsi="宋体"/>
          <w:sz w:val="24"/>
        </w:rPr>
        <w:t>质量管理体系组对申请单位质量管理体系的建立与实施情况进行评审。通过查阅质量手册、程序文件、管理制度、作业指导文件、实施记录以及与申请机构沟通交流、与当地特种设备安全监督管理部门进行交流等方式，评审质量管理体系的建立与实施情况。</w:t>
      </w:r>
    </w:p>
    <w:p>
      <w:pPr>
        <w:spacing w:line="360" w:lineRule="auto"/>
        <w:ind w:firstLine="480" w:firstLineChars="200"/>
        <w:rPr>
          <w:rFonts w:ascii="宋体" w:hAnsi="宋体"/>
          <w:sz w:val="24"/>
        </w:rPr>
      </w:pPr>
      <w:r>
        <w:rPr>
          <w:rFonts w:hint="eastAsia" w:ascii="宋体" w:hAnsi="宋体"/>
          <w:sz w:val="24"/>
        </w:rPr>
        <w:t>4.4.3保障压力管道元件安全性能的技术能力（以下简称产品安全性能）的评审</w:t>
      </w:r>
    </w:p>
    <w:p>
      <w:pPr>
        <w:spacing w:line="360" w:lineRule="auto"/>
        <w:ind w:firstLine="480" w:firstLineChars="200"/>
        <w:rPr>
          <w:rFonts w:ascii="宋体" w:hAnsi="宋体"/>
          <w:sz w:val="24"/>
        </w:rPr>
      </w:pPr>
      <w:r>
        <w:rPr>
          <w:rFonts w:hint="eastAsia" w:ascii="宋体" w:hAnsi="宋体"/>
          <w:sz w:val="24"/>
        </w:rPr>
        <w:t xml:space="preserve">产品安全性能组对申请单位的试制造样品或抽查申请单位在许可周期范围内生产的产品的制造质量进行评审。通过查阅设计文件、工艺文件、制造过程有关文件资料、抽查检验检测报告（含相应记录，下同）、现场跟踪制造实施过程、查看实物，以及与有关人员交流等方式，对产品制造质量进行评审。 </w:t>
      </w:r>
    </w:p>
    <w:p>
      <w:pPr>
        <w:spacing w:line="360" w:lineRule="auto"/>
        <w:ind w:firstLine="480" w:firstLineChars="200"/>
        <w:rPr>
          <w:rFonts w:ascii="宋体" w:hAnsi="宋体"/>
          <w:sz w:val="24"/>
        </w:rPr>
      </w:pPr>
      <w:r>
        <w:rPr>
          <w:rFonts w:hint="eastAsia" w:ascii="宋体" w:hAnsi="宋体"/>
          <w:sz w:val="24"/>
        </w:rPr>
        <w:t>试制造样品或抽查产品应当按照所申请的产品品种、级别相适应，试制造样品或抽查产品应当具有代表性，并能够体现并验证制造单位申请产品需要的制造和检验能力。</w:t>
      </w:r>
    </w:p>
    <w:p>
      <w:pPr>
        <w:spacing w:line="360" w:lineRule="auto"/>
        <w:ind w:firstLine="480" w:firstLineChars="200"/>
        <w:rPr>
          <w:rFonts w:ascii="宋体" w:hAnsi="宋体" w:cs="黑体"/>
          <w:bCs/>
          <w:sz w:val="24"/>
        </w:rPr>
      </w:pPr>
      <w:r>
        <w:rPr>
          <w:rFonts w:hint="eastAsia" w:ascii="宋体" w:hAnsi="宋体"/>
          <w:sz w:val="24"/>
        </w:rPr>
        <w:t>试制造样品或抽查产品数量及其包括的关键工序见表9-1。</w:t>
      </w:r>
    </w:p>
    <w:p>
      <w:pPr>
        <w:tabs>
          <w:tab w:val="left" w:pos="2490"/>
        </w:tabs>
        <w:spacing w:line="480" w:lineRule="auto"/>
        <w:jc w:val="center"/>
        <w:outlineLvl w:val="0"/>
        <w:rPr>
          <w:rFonts w:ascii="宋体" w:hAnsi="宋体" w:cs="黑体"/>
          <w:bCs/>
          <w:sz w:val="24"/>
        </w:rPr>
      </w:pPr>
      <w:r>
        <w:rPr>
          <w:rFonts w:hint="eastAsia" w:ascii="宋体" w:hAnsi="宋体" w:cs="黑体"/>
          <w:bCs/>
          <w:sz w:val="24"/>
        </w:rPr>
        <w:t>表 9-1试制造样品数量或抽查产品及其关键工序</w:t>
      </w:r>
    </w:p>
    <w:tbl>
      <w:tblPr>
        <w:tblStyle w:val="18"/>
        <w:tblW w:w="907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06"/>
        <w:gridCol w:w="1904"/>
        <w:gridCol w:w="49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tcBorders>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申请产品品种</w:t>
            </w:r>
          </w:p>
        </w:tc>
        <w:tc>
          <w:tcPr>
            <w:tcW w:w="1904" w:type="dxa"/>
            <w:tcBorders>
              <w:left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数量</w:t>
            </w:r>
          </w:p>
        </w:tc>
        <w:tc>
          <w:tcPr>
            <w:tcW w:w="4964" w:type="dxa"/>
            <w:tcBorders>
              <w:left w:val="single" w:color="000000" w:sz="4" w:space="0"/>
              <w:bottom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关键工序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tcBorders>
              <w:top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无缝钢管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一批</w:t>
            </w:r>
          </w:p>
        </w:tc>
        <w:tc>
          <w:tcPr>
            <w:tcW w:w="4964" w:type="dxa"/>
            <w:tcBorders>
              <w:top w:val="single" w:color="000000" w:sz="4" w:space="0"/>
              <w:left w:val="single" w:color="000000" w:sz="4" w:space="0"/>
              <w:bottom w:val="single" w:color="000000" w:sz="4" w:space="0"/>
            </w:tcBorders>
            <w:shd w:val="clear" w:color="auto" w:fill="auto"/>
            <w:vAlign w:val="center"/>
          </w:tcPr>
          <w:p>
            <w:pPr>
              <w:tabs>
                <w:tab w:val="left" w:pos="2490"/>
              </w:tabs>
              <w:jc w:val="left"/>
              <w:outlineLvl w:val="0"/>
              <w:rPr>
                <w:rFonts w:ascii="宋体" w:hAnsi="宋体" w:cs="黑体"/>
                <w:bCs/>
                <w:szCs w:val="21"/>
              </w:rPr>
            </w:pPr>
            <w:r>
              <w:rPr>
                <w:rFonts w:hint="eastAsia" w:ascii="宋体" w:hAnsi="宋体" w:cs="黑体"/>
                <w:bCs/>
                <w:szCs w:val="21"/>
              </w:rPr>
              <w:t>热轧(冷拔)、热处理、无损检测、理化检验、</w:t>
            </w:r>
          </w:p>
          <w:p>
            <w:pPr>
              <w:tabs>
                <w:tab w:val="left" w:pos="2490"/>
              </w:tabs>
              <w:jc w:val="left"/>
              <w:outlineLvl w:val="0"/>
              <w:rPr>
                <w:rFonts w:ascii="宋体" w:hAnsi="宋体" w:cs="黑体"/>
                <w:bCs/>
                <w:szCs w:val="21"/>
              </w:rPr>
            </w:pPr>
            <w:r>
              <w:rPr>
                <w:rFonts w:hint="eastAsia" w:ascii="宋体" w:hAnsi="宋体" w:cs="黑体"/>
                <w:bCs/>
                <w:szCs w:val="21"/>
              </w:rPr>
              <w:t>工艺性能检验、耐压试验(可用无损检测代替)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tcBorders>
              <w:top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焊接钢管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一批</w:t>
            </w:r>
          </w:p>
        </w:tc>
        <w:tc>
          <w:tcPr>
            <w:tcW w:w="4964" w:type="dxa"/>
            <w:tcBorders>
              <w:top w:val="single" w:color="000000" w:sz="4" w:space="0"/>
              <w:left w:val="single" w:color="000000" w:sz="4" w:space="0"/>
              <w:bottom w:val="single" w:color="000000" w:sz="4" w:space="0"/>
            </w:tcBorders>
            <w:shd w:val="clear" w:color="auto" w:fill="auto"/>
            <w:vAlign w:val="center"/>
          </w:tcPr>
          <w:p>
            <w:pPr>
              <w:tabs>
                <w:tab w:val="left" w:pos="2490"/>
              </w:tabs>
              <w:jc w:val="left"/>
              <w:outlineLvl w:val="0"/>
              <w:rPr>
                <w:rFonts w:ascii="宋体" w:hAnsi="宋体" w:cs="黑体"/>
                <w:bCs/>
                <w:szCs w:val="21"/>
              </w:rPr>
            </w:pPr>
            <w:r>
              <w:rPr>
                <w:rFonts w:hint="eastAsia" w:ascii="宋体" w:hAnsi="宋体" w:cs="黑体"/>
                <w:bCs/>
                <w:szCs w:val="21"/>
              </w:rPr>
              <w:t>焊接、无损检测、理化检验、工艺性能检验、</w:t>
            </w:r>
          </w:p>
          <w:p>
            <w:pPr>
              <w:tabs>
                <w:tab w:val="left" w:pos="2490"/>
              </w:tabs>
              <w:jc w:val="left"/>
              <w:outlineLvl w:val="0"/>
              <w:rPr>
                <w:rFonts w:ascii="宋体" w:hAnsi="宋体" w:cs="黑体"/>
                <w:bCs/>
                <w:szCs w:val="21"/>
              </w:rPr>
            </w:pPr>
            <w:r>
              <w:rPr>
                <w:rFonts w:hint="eastAsia" w:ascii="宋体" w:hAnsi="宋体" w:cs="黑体"/>
                <w:bCs/>
                <w:szCs w:val="21"/>
              </w:rPr>
              <w:t>耐压试验(可用无损检测代替)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tcBorders>
              <w:top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无缝管件、</w:t>
            </w:r>
          </w:p>
          <w:p>
            <w:pPr>
              <w:tabs>
                <w:tab w:val="left" w:pos="2490"/>
              </w:tabs>
              <w:jc w:val="center"/>
              <w:outlineLvl w:val="0"/>
              <w:rPr>
                <w:rFonts w:ascii="宋体" w:hAnsi="宋体" w:cs="黑体"/>
                <w:bCs/>
                <w:szCs w:val="21"/>
              </w:rPr>
            </w:pPr>
            <w:r>
              <w:rPr>
                <w:rFonts w:hint="eastAsia" w:ascii="宋体" w:hAnsi="宋体" w:cs="黑体"/>
                <w:bCs/>
                <w:szCs w:val="21"/>
              </w:rPr>
              <w:t>有缝管件</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弯头和三通</w:t>
            </w:r>
          </w:p>
          <w:p>
            <w:pPr>
              <w:tabs>
                <w:tab w:val="left" w:pos="2490"/>
              </w:tabs>
              <w:jc w:val="center"/>
              <w:outlineLvl w:val="0"/>
              <w:rPr>
                <w:rFonts w:ascii="宋体" w:hAnsi="宋体" w:cs="黑体"/>
                <w:bCs/>
                <w:szCs w:val="21"/>
              </w:rPr>
            </w:pPr>
            <w:r>
              <w:rPr>
                <w:rFonts w:hint="eastAsia" w:ascii="宋体" w:hAnsi="宋体" w:cs="黑体"/>
                <w:bCs/>
                <w:szCs w:val="21"/>
              </w:rPr>
              <w:t>各一批</w:t>
            </w:r>
          </w:p>
        </w:tc>
        <w:tc>
          <w:tcPr>
            <w:tcW w:w="4964" w:type="dxa"/>
            <w:tcBorders>
              <w:top w:val="single" w:color="000000" w:sz="4" w:space="0"/>
              <w:left w:val="single" w:color="000000" w:sz="4" w:space="0"/>
              <w:bottom w:val="single" w:color="000000" w:sz="4" w:space="0"/>
            </w:tcBorders>
            <w:shd w:val="clear" w:color="auto" w:fill="auto"/>
            <w:vAlign w:val="center"/>
          </w:tcPr>
          <w:p>
            <w:pPr>
              <w:tabs>
                <w:tab w:val="left" w:pos="2490"/>
              </w:tabs>
              <w:jc w:val="left"/>
              <w:outlineLvl w:val="0"/>
              <w:rPr>
                <w:rFonts w:ascii="宋体" w:hAnsi="宋体" w:cs="黑体"/>
                <w:bCs/>
                <w:szCs w:val="21"/>
              </w:rPr>
            </w:pPr>
            <w:r>
              <w:rPr>
                <w:rFonts w:hint="eastAsia" w:ascii="宋体" w:hAnsi="宋体" w:cs="黑体"/>
                <w:bCs/>
                <w:szCs w:val="21"/>
              </w:rPr>
              <w:t>成型、无损检测、理化检验、热处理，有缝</w:t>
            </w:r>
          </w:p>
          <w:p>
            <w:pPr>
              <w:tabs>
                <w:tab w:val="left" w:pos="2490"/>
              </w:tabs>
              <w:jc w:val="left"/>
              <w:outlineLvl w:val="0"/>
              <w:rPr>
                <w:rFonts w:ascii="宋体" w:hAnsi="宋体" w:cs="黑体"/>
                <w:bCs/>
                <w:szCs w:val="21"/>
              </w:rPr>
            </w:pPr>
            <w:r>
              <w:rPr>
                <w:rFonts w:hint="eastAsia" w:ascii="宋体" w:hAnsi="宋体" w:cs="黑体"/>
                <w:bCs/>
                <w:szCs w:val="21"/>
              </w:rPr>
              <w:t>管件制造还应当有焊接过程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tcBorders>
              <w:top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锻制管件、</w:t>
            </w:r>
          </w:p>
          <w:p>
            <w:pPr>
              <w:tabs>
                <w:tab w:val="left" w:pos="2490"/>
              </w:tabs>
              <w:jc w:val="center"/>
              <w:outlineLvl w:val="0"/>
              <w:rPr>
                <w:rFonts w:ascii="宋体" w:hAnsi="宋体" w:cs="黑体"/>
                <w:bCs/>
                <w:szCs w:val="21"/>
              </w:rPr>
            </w:pPr>
            <w:r>
              <w:rPr>
                <w:rFonts w:hint="eastAsia" w:ascii="宋体" w:hAnsi="宋体" w:cs="黑体"/>
                <w:bCs/>
                <w:szCs w:val="21"/>
              </w:rPr>
              <w:t>钢制锻造法兰</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一批</w:t>
            </w:r>
          </w:p>
        </w:tc>
        <w:tc>
          <w:tcPr>
            <w:tcW w:w="4964" w:type="dxa"/>
            <w:tcBorders>
              <w:top w:val="single" w:color="000000" w:sz="4" w:space="0"/>
              <w:left w:val="single" w:color="000000" w:sz="4" w:space="0"/>
              <w:bottom w:val="single" w:color="000000" w:sz="4" w:space="0"/>
            </w:tcBorders>
            <w:shd w:val="clear" w:color="auto" w:fill="auto"/>
            <w:vAlign w:val="center"/>
          </w:tcPr>
          <w:p>
            <w:pPr>
              <w:tabs>
                <w:tab w:val="left" w:pos="2490"/>
              </w:tabs>
              <w:jc w:val="left"/>
              <w:outlineLvl w:val="0"/>
              <w:rPr>
                <w:rFonts w:ascii="宋体" w:hAnsi="宋体" w:cs="黑体"/>
                <w:bCs/>
                <w:szCs w:val="21"/>
              </w:rPr>
            </w:pPr>
            <w:r>
              <w:rPr>
                <w:rFonts w:hint="eastAsia" w:ascii="宋体" w:hAnsi="宋体" w:cs="黑体"/>
                <w:bCs/>
                <w:szCs w:val="21"/>
              </w:rPr>
              <w:t>机械加工，申请单位自行锻造锻坯时，还应</w:t>
            </w:r>
          </w:p>
          <w:p>
            <w:pPr>
              <w:tabs>
                <w:tab w:val="left" w:pos="2490"/>
              </w:tabs>
              <w:jc w:val="left"/>
              <w:outlineLvl w:val="0"/>
              <w:rPr>
                <w:rFonts w:ascii="宋体" w:hAnsi="宋体" w:cs="黑体"/>
                <w:bCs/>
                <w:szCs w:val="21"/>
              </w:rPr>
            </w:pPr>
            <w:r>
              <w:rPr>
                <w:rFonts w:hint="eastAsia" w:ascii="宋体" w:hAnsi="宋体" w:cs="黑体"/>
                <w:bCs/>
                <w:szCs w:val="21"/>
              </w:rPr>
              <w:t>包括理化检验和无损检测过程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tcBorders>
              <w:top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金属阀门</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每种结构型式</w:t>
            </w:r>
          </w:p>
          <w:p>
            <w:pPr>
              <w:tabs>
                <w:tab w:val="left" w:pos="2490"/>
              </w:tabs>
              <w:jc w:val="center"/>
              <w:outlineLvl w:val="0"/>
              <w:rPr>
                <w:rFonts w:ascii="宋体" w:hAnsi="宋体" w:cs="黑体"/>
                <w:bCs/>
                <w:szCs w:val="21"/>
              </w:rPr>
            </w:pPr>
            <w:r>
              <w:rPr>
                <w:rFonts w:hint="eastAsia" w:ascii="宋体" w:hAnsi="宋体" w:cs="黑体"/>
                <w:bCs/>
                <w:szCs w:val="21"/>
              </w:rPr>
              <w:t>的阀门各 2 只</w:t>
            </w:r>
          </w:p>
        </w:tc>
        <w:tc>
          <w:tcPr>
            <w:tcW w:w="4964" w:type="dxa"/>
            <w:tcBorders>
              <w:top w:val="single" w:color="000000" w:sz="4" w:space="0"/>
              <w:left w:val="single" w:color="000000" w:sz="4" w:space="0"/>
              <w:bottom w:val="single" w:color="000000" w:sz="4" w:space="0"/>
            </w:tcBorders>
            <w:shd w:val="clear" w:color="auto" w:fill="auto"/>
            <w:vAlign w:val="center"/>
          </w:tcPr>
          <w:p>
            <w:pPr>
              <w:tabs>
                <w:tab w:val="left" w:pos="2490"/>
              </w:tabs>
              <w:jc w:val="left"/>
              <w:outlineLvl w:val="0"/>
              <w:rPr>
                <w:rFonts w:ascii="宋体" w:hAnsi="宋体" w:cs="黑体"/>
                <w:bCs/>
                <w:szCs w:val="21"/>
              </w:rPr>
            </w:pPr>
            <w:r>
              <w:rPr>
                <w:rFonts w:hint="eastAsia" w:ascii="宋体" w:hAnsi="宋体" w:cs="黑体"/>
                <w:bCs/>
                <w:szCs w:val="21"/>
              </w:rPr>
              <w:t>材料(零部件)进货检验、焊接(需要时)、热</w:t>
            </w:r>
          </w:p>
          <w:p>
            <w:pPr>
              <w:tabs>
                <w:tab w:val="left" w:pos="2490"/>
              </w:tabs>
              <w:jc w:val="left"/>
              <w:outlineLvl w:val="0"/>
              <w:rPr>
                <w:rFonts w:ascii="宋体" w:hAnsi="宋体" w:cs="黑体"/>
                <w:bCs/>
                <w:szCs w:val="21"/>
              </w:rPr>
            </w:pPr>
            <w:r>
              <w:rPr>
                <w:rFonts w:hint="eastAsia" w:ascii="宋体" w:hAnsi="宋体" w:cs="黑体"/>
                <w:bCs/>
                <w:szCs w:val="21"/>
              </w:rPr>
              <w:t>处理、无损检测、装配、耐压试验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tcBorders>
              <w:top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金属波纹膨胀节</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一批</w:t>
            </w:r>
          </w:p>
        </w:tc>
        <w:tc>
          <w:tcPr>
            <w:tcW w:w="4964" w:type="dxa"/>
            <w:tcBorders>
              <w:top w:val="single" w:color="000000" w:sz="4" w:space="0"/>
              <w:left w:val="single" w:color="000000" w:sz="4" w:space="0"/>
              <w:bottom w:val="single" w:color="000000" w:sz="4" w:space="0"/>
            </w:tcBorders>
            <w:shd w:val="clear" w:color="auto" w:fill="auto"/>
            <w:vAlign w:val="center"/>
          </w:tcPr>
          <w:p>
            <w:pPr>
              <w:tabs>
                <w:tab w:val="left" w:pos="2490"/>
              </w:tabs>
              <w:jc w:val="left"/>
              <w:outlineLvl w:val="0"/>
              <w:rPr>
                <w:rFonts w:ascii="宋体" w:hAnsi="宋体" w:cs="黑体"/>
                <w:bCs/>
                <w:szCs w:val="21"/>
              </w:rPr>
            </w:pPr>
            <w:r>
              <w:rPr>
                <w:rFonts w:hint="eastAsia" w:ascii="宋体" w:hAnsi="宋体" w:cs="黑体"/>
                <w:bCs/>
                <w:szCs w:val="21"/>
              </w:rPr>
              <w:t>波纹管成型、焊接、无损检测、耐压试验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tcBorders>
              <w:top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非金属材料管</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一批</w:t>
            </w:r>
          </w:p>
        </w:tc>
        <w:tc>
          <w:tcPr>
            <w:tcW w:w="4964" w:type="dxa"/>
            <w:tcBorders>
              <w:top w:val="single" w:color="000000" w:sz="4" w:space="0"/>
              <w:left w:val="single" w:color="000000" w:sz="4" w:space="0"/>
              <w:bottom w:val="single" w:color="000000" w:sz="4" w:space="0"/>
            </w:tcBorders>
            <w:shd w:val="clear" w:color="auto" w:fill="auto"/>
            <w:vAlign w:val="center"/>
          </w:tcPr>
          <w:p>
            <w:pPr>
              <w:tabs>
                <w:tab w:val="left" w:pos="2490"/>
              </w:tabs>
              <w:jc w:val="left"/>
              <w:outlineLvl w:val="0"/>
              <w:rPr>
                <w:rFonts w:ascii="宋体" w:hAnsi="宋体" w:cs="黑体"/>
                <w:bCs/>
                <w:szCs w:val="21"/>
              </w:rPr>
            </w:pPr>
            <w:r>
              <w:rPr>
                <w:rFonts w:hint="eastAsia" w:ascii="宋体" w:hAnsi="宋体" w:cs="黑体"/>
                <w:bCs/>
                <w:szCs w:val="21"/>
              </w:rPr>
              <w:t>成型、静液压强度(耐压)试验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tcBorders>
              <w:top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聚乙烯管件</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一批</w:t>
            </w:r>
          </w:p>
        </w:tc>
        <w:tc>
          <w:tcPr>
            <w:tcW w:w="4964" w:type="dxa"/>
            <w:tcBorders>
              <w:top w:val="single" w:color="000000" w:sz="4" w:space="0"/>
              <w:left w:val="single" w:color="000000" w:sz="4" w:space="0"/>
              <w:bottom w:val="single" w:color="000000" w:sz="4" w:space="0"/>
            </w:tcBorders>
            <w:shd w:val="clear" w:color="auto" w:fill="auto"/>
            <w:vAlign w:val="center"/>
          </w:tcPr>
          <w:p>
            <w:pPr>
              <w:tabs>
                <w:tab w:val="left" w:pos="2490"/>
              </w:tabs>
              <w:jc w:val="left"/>
              <w:outlineLvl w:val="0"/>
              <w:rPr>
                <w:rFonts w:ascii="宋体" w:hAnsi="宋体" w:cs="黑体"/>
                <w:bCs/>
                <w:szCs w:val="21"/>
              </w:rPr>
            </w:pPr>
            <w:r>
              <w:rPr>
                <w:rFonts w:hint="eastAsia" w:ascii="宋体" w:hAnsi="宋体" w:cs="黑体"/>
                <w:bCs/>
                <w:szCs w:val="21"/>
              </w:rPr>
              <w:t>成型、静液压强度(耐压)试验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06" w:type="dxa"/>
            <w:tcBorders>
              <w:top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元件组合装置</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490"/>
              </w:tabs>
              <w:jc w:val="center"/>
              <w:outlineLvl w:val="0"/>
              <w:rPr>
                <w:rFonts w:ascii="宋体" w:hAnsi="宋体" w:cs="黑体"/>
                <w:bCs/>
                <w:szCs w:val="21"/>
              </w:rPr>
            </w:pPr>
            <w:r>
              <w:rPr>
                <w:rFonts w:hint="eastAsia" w:ascii="宋体" w:hAnsi="宋体" w:cs="黑体"/>
                <w:bCs/>
                <w:szCs w:val="21"/>
              </w:rPr>
              <w:t>所申请产品</w:t>
            </w:r>
          </w:p>
          <w:p>
            <w:pPr>
              <w:tabs>
                <w:tab w:val="left" w:pos="2490"/>
              </w:tabs>
              <w:jc w:val="center"/>
              <w:outlineLvl w:val="0"/>
              <w:rPr>
                <w:rFonts w:ascii="宋体" w:hAnsi="宋体" w:cs="黑体"/>
                <w:bCs/>
                <w:szCs w:val="21"/>
              </w:rPr>
            </w:pPr>
            <w:r>
              <w:rPr>
                <w:rFonts w:hint="eastAsia" w:ascii="宋体" w:hAnsi="宋体" w:cs="黑体"/>
                <w:bCs/>
                <w:szCs w:val="21"/>
              </w:rPr>
              <w:t>各一批</w:t>
            </w:r>
          </w:p>
        </w:tc>
        <w:tc>
          <w:tcPr>
            <w:tcW w:w="4964" w:type="dxa"/>
            <w:tcBorders>
              <w:top w:val="single" w:color="000000" w:sz="4" w:space="0"/>
              <w:left w:val="single" w:color="000000" w:sz="4" w:space="0"/>
              <w:bottom w:val="single" w:color="000000" w:sz="4" w:space="0"/>
            </w:tcBorders>
            <w:shd w:val="clear" w:color="auto" w:fill="auto"/>
            <w:vAlign w:val="center"/>
          </w:tcPr>
          <w:p>
            <w:pPr>
              <w:tabs>
                <w:tab w:val="left" w:pos="2490"/>
              </w:tabs>
              <w:jc w:val="left"/>
              <w:outlineLvl w:val="0"/>
              <w:rPr>
                <w:rFonts w:ascii="宋体" w:hAnsi="宋体" w:cs="黑体"/>
                <w:bCs/>
                <w:szCs w:val="21"/>
              </w:rPr>
            </w:pPr>
            <w:r>
              <w:rPr>
                <w:rFonts w:hint="eastAsia" w:ascii="宋体" w:hAnsi="宋体" w:cs="黑体"/>
                <w:bCs/>
                <w:szCs w:val="21"/>
              </w:rPr>
              <w:t>焊接、无损检测、理化检验、耐压试验</w:t>
            </w:r>
          </w:p>
        </w:tc>
      </w:tr>
    </w:tbl>
    <w:p>
      <w:pPr>
        <w:spacing w:line="360" w:lineRule="auto"/>
        <w:ind w:firstLine="480" w:firstLineChars="200"/>
        <w:rPr>
          <w:rFonts w:ascii="宋体" w:hAnsi="宋体"/>
          <w:sz w:val="24"/>
        </w:rPr>
      </w:pPr>
      <w:r>
        <w:rPr>
          <w:rFonts w:hint="eastAsia" w:ascii="宋体" w:hAnsi="宋体"/>
          <w:sz w:val="24"/>
        </w:rPr>
        <w:t xml:space="preserve">4.5 评审组内部沟通 </w:t>
      </w:r>
    </w:p>
    <w:p>
      <w:pPr>
        <w:spacing w:line="360" w:lineRule="auto"/>
        <w:ind w:firstLine="480" w:firstLineChars="200"/>
        <w:rPr>
          <w:rFonts w:ascii="宋体" w:hAnsi="宋体"/>
          <w:sz w:val="24"/>
        </w:rPr>
      </w:pPr>
      <w:r>
        <w:rPr>
          <w:rFonts w:hint="eastAsia" w:ascii="宋体" w:hAnsi="宋体"/>
          <w:sz w:val="24"/>
        </w:rPr>
        <w:t xml:space="preserve">4.5.1 每日评审工作结束后，评审组应进行内部沟通，小结评审工作情况，必要时，可针对具体情况调整工作计划。 </w:t>
      </w:r>
    </w:p>
    <w:p>
      <w:pPr>
        <w:spacing w:line="360" w:lineRule="auto"/>
        <w:ind w:firstLine="480" w:firstLineChars="200"/>
        <w:rPr>
          <w:rFonts w:ascii="宋体" w:hAnsi="宋体"/>
          <w:sz w:val="24"/>
        </w:rPr>
      </w:pPr>
      <w:r>
        <w:rPr>
          <w:rFonts w:hint="eastAsia" w:ascii="宋体" w:hAnsi="宋体"/>
          <w:sz w:val="24"/>
        </w:rPr>
        <w:t xml:space="preserve">4.5.2 分组评审结束后，对各小组发现的问题集中讨论，提出发现的问题，交评审组长而后评审组长组织起草《特种设备鉴定评审工作备忘录》，拟定评审组的现场评审结论，并经全体评审组成员讨论通过。当出现不一致意见时，由评审组长作出最后决定，对于不一致的意见，应当形成书面说明报评审机构。 </w:t>
      </w:r>
    </w:p>
    <w:p>
      <w:pPr>
        <w:spacing w:line="360" w:lineRule="auto"/>
        <w:ind w:firstLine="480" w:firstLineChars="200"/>
        <w:rPr>
          <w:rFonts w:ascii="宋体" w:hAnsi="宋体"/>
          <w:sz w:val="24"/>
        </w:rPr>
      </w:pPr>
      <w:r>
        <w:rPr>
          <w:rFonts w:hint="eastAsia" w:ascii="宋体" w:hAnsi="宋体"/>
          <w:sz w:val="24"/>
        </w:rPr>
        <w:t xml:space="preserve">4.6 与申请机构沟通 </w:t>
      </w:r>
    </w:p>
    <w:p>
      <w:pPr>
        <w:spacing w:line="360" w:lineRule="auto"/>
        <w:ind w:firstLine="480" w:firstLineChars="200"/>
        <w:rPr>
          <w:rFonts w:ascii="宋体" w:hAnsi="宋体"/>
          <w:sz w:val="24"/>
        </w:rPr>
      </w:pPr>
      <w:r>
        <w:rPr>
          <w:rFonts w:hint="eastAsia" w:ascii="宋体" w:hAnsi="宋体"/>
          <w:sz w:val="24"/>
        </w:rPr>
        <w:t xml:space="preserve">评审组内部合议后，评审组成员、特种设备安全监督管理部门代表和申请机构有关领导交流评审工作情况。评审组长主持交流会议，各评审小组简要介绍分组评审情况，并逐项说明存在的问题，就这些问题应征询申请机构的意见。取得一致意见后，评审组长与申请机构负责人签署《特种设备鉴定评审工作备忘录》（一式四份，评审组长两份，申请机构、当地特种设备安全监督管理部门代表各执一份） 。 </w:t>
      </w:r>
    </w:p>
    <w:p>
      <w:pPr>
        <w:spacing w:line="360" w:lineRule="auto"/>
        <w:ind w:firstLine="480" w:firstLineChars="200"/>
        <w:rPr>
          <w:rFonts w:ascii="宋体" w:hAnsi="宋体"/>
          <w:sz w:val="24"/>
        </w:rPr>
      </w:pPr>
      <w:r>
        <w:rPr>
          <w:rFonts w:hint="eastAsia" w:ascii="宋体" w:hAnsi="宋体"/>
          <w:sz w:val="24"/>
        </w:rPr>
        <w:t xml:space="preserve">若申请机构拒绝签署《特种设备鉴定评审工作备忘录》，评审组长应要求申请机构书面陈述理由，并加盖申请机构印章(公章)后由评审组长带回。 </w:t>
      </w:r>
    </w:p>
    <w:p>
      <w:pPr>
        <w:spacing w:line="360" w:lineRule="auto"/>
        <w:ind w:firstLine="480" w:firstLineChars="200"/>
        <w:rPr>
          <w:rFonts w:ascii="宋体" w:hAnsi="宋体"/>
          <w:sz w:val="24"/>
        </w:rPr>
      </w:pPr>
      <w:r>
        <w:rPr>
          <w:rFonts w:hint="eastAsia" w:ascii="宋体" w:hAnsi="宋体"/>
          <w:sz w:val="24"/>
        </w:rPr>
        <w:t xml:space="preserve">若申请机构拒绝出具陈述理由的书面材料时，评审组长应当随即报告评审机构。 </w:t>
      </w:r>
    </w:p>
    <w:p>
      <w:pPr>
        <w:spacing w:line="360" w:lineRule="auto"/>
        <w:ind w:firstLine="480" w:firstLineChars="200"/>
        <w:rPr>
          <w:rFonts w:ascii="宋体" w:hAnsi="宋体"/>
          <w:sz w:val="24"/>
        </w:rPr>
      </w:pPr>
      <w:r>
        <w:rPr>
          <w:rFonts w:hint="eastAsia" w:ascii="宋体" w:hAnsi="宋体"/>
          <w:sz w:val="24"/>
        </w:rPr>
        <w:t xml:space="preserve">必要时，意见交流会也可以与末次会议合并进行。 </w:t>
      </w:r>
    </w:p>
    <w:p>
      <w:pPr>
        <w:spacing w:line="360" w:lineRule="auto"/>
        <w:ind w:firstLine="480" w:firstLineChars="200"/>
        <w:rPr>
          <w:rFonts w:ascii="宋体" w:hAnsi="宋体"/>
          <w:sz w:val="24"/>
        </w:rPr>
      </w:pPr>
      <w:r>
        <w:rPr>
          <w:rFonts w:hint="eastAsia" w:ascii="宋体" w:hAnsi="宋体"/>
          <w:sz w:val="24"/>
        </w:rPr>
        <w:t>4.7 末次会议</w:t>
      </w:r>
    </w:p>
    <w:p>
      <w:pPr>
        <w:spacing w:line="360" w:lineRule="auto"/>
        <w:ind w:firstLine="480" w:firstLineChars="200"/>
        <w:rPr>
          <w:rFonts w:ascii="宋体" w:hAnsi="宋体"/>
          <w:sz w:val="24"/>
        </w:rPr>
      </w:pPr>
      <w:r>
        <w:rPr>
          <w:rFonts w:hint="eastAsia" w:ascii="宋体" w:hAnsi="宋体"/>
          <w:sz w:val="24"/>
        </w:rPr>
        <w:t>按本指南通用部分要求。</w:t>
      </w:r>
    </w:p>
    <w:p>
      <w:pPr>
        <w:spacing w:line="360" w:lineRule="auto"/>
        <w:rPr>
          <w:rFonts w:ascii="宋体" w:hAnsi="宋体"/>
          <w:b/>
          <w:bCs/>
          <w:sz w:val="24"/>
        </w:rPr>
      </w:pPr>
      <w:r>
        <w:rPr>
          <w:rFonts w:hint="eastAsia" w:ascii="宋体" w:hAnsi="宋体"/>
          <w:b/>
          <w:bCs/>
          <w:sz w:val="24"/>
        </w:rPr>
        <w:t>5  整改及整改结果确认</w:t>
      </w:r>
    </w:p>
    <w:p>
      <w:pPr>
        <w:spacing w:line="360" w:lineRule="auto"/>
        <w:ind w:firstLine="480" w:firstLineChars="200"/>
        <w:rPr>
          <w:rFonts w:ascii="宋体" w:hAnsi="宋体"/>
          <w:sz w:val="24"/>
        </w:rPr>
      </w:pPr>
      <w:r>
        <w:rPr>
          <w:rFonts w:hint="eastAsia" w:ascii="宋体" w:hAnsi="宋体"/>
          <w:sz w:val="24"/>
        </w:rPr>
        <w:t>5.1鉴定评审结束后，申请单位应在6个月内完成整改，并提交整改报告和相关见证资料。同时应满足“鉴定评审工作（含整改时间）自受理决定书签发之日起1年内完成”的要求。</w:t>
      </w:r>
    </w:p>
    <w:p>
      <w:pPr>
        <w:spacing w:line="360" w:lineRule="auto"/>
        <w:ind w:firstLine="480" w:firstLineChars="200"/>
        <w:rPr>
          <w:rFonts w:ascii="宋体" w:hAnsi="宋体"/>
          <w:sz w:val="24"/>
        </w:rPr>
      </w:pPr>
      <w:r>
        <w:rPr>
          <w:rFonts w:hint="eastAsia" w:ascii="宋体" w:hAnsi="宋体"/>
          <w:sz w:val="24"/>
        </w:rPr>
        <w:t>5.2整改结果确认工作由评审组组长组织实施。评审组组长应在收到整改报告后的5个工作日内完成整改结果确认，整改后仍不满足许可条件的，允许申请单位继续整改，但必须符合本细则6.1条规定的时限。</w:t>
      </w:r>
    </w:p>
    <w:p>
      <w:pPr>
        <w:spacing w:line="360" w:lineRule="auto"/>
        <w:ind w:firstLine="480" w:firstLineChars="200"/>
        <w:rPr>
          <w:rFonts w:ascii="宋体" w:hAnsi="宋体"/>
          <w:sz w:val="24"/>
        </w:rPr>
      </w:pPr>
      <w:r>
        <w:rPr>
          <w:rFonts w:hint="eastAsia" w:ascii="宋体" w:hAnsi="宋体"/>
          <w:sz w:val="24"/>
        </w:rPr>
        <w:t>5.3鉴定评审组采取现场和（或）见证资料两种形式对整改结果进行确认。</w:t>
      </w:r>
    </w:p>
    <w:p>
      <w:pPr>
        <w:spacing w:line="360" w:lineRule="auto"/>
        <w:ind w:firstLine="480" w:firstLineChars="200"/>
        <w:rPr>
          <w:rFonts w:ascii="宋体" w:hAnsi="宋体"/>
          <w:sz w:val="24"/>
        </w:rPr>
      </w:pPr>
      <w:r>
        <w:rPr>
          <w:rFonts w:hint="eastAsia" w:ascii="宋体" w:hAnsi="宋体"/>
          <w:sz w:val="24"/>
        </w:rPr>
        <w:t>5.3.1采取现场确认的，应有两名以上评审人员到场，必要时可邀请观察员参加。</w:t>
      </w:r>
    </w:p>
    <w:p>
      <w:pPr>
        <w:spacing w:line="360" w:lineRule="auto"/>
        <w:ind w:firstLine="480" w:firstLineChars="200"/>
        <w:rPr>
          <w:rFonts w:ascii="宋体" w:hAnsi="宋体"/>
          <w:sz w:val="24"/>
        </w:rPr>
      </w:pPr>
      <w:r>
        <w:rPr>
          <w:rFonts w:hint="eastAsia" w:ascii="宋体" w:hAnsi="宋体"/>
          <w:sz w:val="24"/>
        </w:rPr>
        <w:t>5.3.2 采取见证资料确认的，申请单位应按以下方式向鉴定评审机构提交见证资料，书面见证材料须加盖申请单位公章。</w:t>
      </w:r>
    </w:p>
    <w:p>
      <w:pPr>
        <w:spacing w:line="360" w:lineRule="auto"/>
        <w:ind w:firstLine="480" w:firstLineChars="200"/>
        <w:rPr>
          <w:rFonts w:ascii="宋体" w:hAnsi="宋体"/>
          <w:sz w:val="24"/>
        </w:rPr>
      </w:pPr>
      <w:r>
        <w:rPr>
          <w:rFonts w:hint="eastAsia" w:ascii="宋体" w:hAnsi="宋体"/>
          <w:sz w:val="24"/>
        </w:rPr>
        <w:t>1）场地、设备（关键设备需要到现场进行确认）等相关视频、照片、付款凭证及定货合同复印件；</w:t>
      </w:r>
    </w:p>
    <w:p>
      <w:pPr>
        <w:spacing w:line="360" w:lineRule="auto"/>
        <w:ind w:firstLine="480" w:firstLineChars="200"/>
        <w:rPr>
          <w:rFonts w:ascii="宋体" w:hAnsi="宋体"/>
          <w:sz w:val="24"/>
        </w:rPr>
      </w:pPr>
      <w:r>
        <w:rPr>
          <w:rFonts w:hint="eastAsia" w:ascii="宋体" w:hAnsi="宋体"/>
          <w:sz w:val="24"/>
        </w:rPr>
        <w:t>2）人员资质条件资格证、劳动关系证明（有效的劳动合同）；劳动合同签订一个月以上的还应提供工资支付凭证或记录，或者社保缴费证明材料；</w:t>
      </w:r>
    </w:p>
    <w:p>
      <w:pPr>
        <w:spacing w:line="360" w:lineRule="auto"/>
        <w:ind w:firstLine="480" w:firstLineChars="200"/>
        <w:rPr>
          <w:rFonts w:ascii="宋体" w:hAnsi="宋体"/>
          <w:sz w:val="24"/>
        </w:rPr>
      </w:pPr>
      <w:r>
        <w:rPr>
          <w:rFonts w:hint="eastAsia" w:ascii="宋体" w:hAnsi="宋体"/>
          <w:sz w:val="24"/>
        </w:rPr>
        <w:t>3）修改后的记录表单；</w:t>
      </w:r>
    </w:p>
    <w:p>
      <w:pPr>
        <w:spacing w:line="360" w:lineRule="auto"/>
        <w:ind w:firstLine="480" w:firstLineChars="200"/>
        <w:rPr>
          <w:rFonts w:ascii="宋体" w:hAnsi="宋体"/>
          <w:sz w:val="24"/>
        </w:rPr>
      </w:pPr>
      <w:r>
        <w:rPr>
          <w:rFonts w:hint="eastAsia" w:ascii="宋体" w:hAnsi="宋体"/>
          <w:sz w:val="24"/>
        </w:rPr>
        <w:t>4）对《质量保证手册》进行全面修改的，提供全面修改的再版质量保证手册（原件）及发布执行的文件；对《质量保证手册》进行局部修改的，提供修改状态变化的文本文件，修订部分应当用显著标识标注清楚，并注明“修订后”。</w:t>
      </w:r>
    </w:p>
    <w:p>
      <w:pPr>
        <w:spacing w:line="360" w:lineRule="auto"/>
        <w:ind w:firstLine="480" w:firstLineChars="200"/>
        <w:rPr>
          <w:rFonts w:ascii="宋体" w:hAnsi="宋体"/>
          <w:sz w:val="24"/>
        </w:rPr>
      </w:pPr>
      <w:r>
        <w:rPr>
          <w:rFonts w:hint="eastAsia" w:ascii="宋体" w:hAnsi="宋体"/>
          <w:sz w:val="24"/>
        </w:rPr>
        <w:t>5.3.3采取以上两种形式确认的，需同时满足4.3.1、4.3.2条的规定。</w:t>
      </w:r>
    </w:p>
    <w:p>
      <w:pPr>
        <w:spacing w:line="360" w:lineRule="auto"/>
        <w:ind w:firstLine="480" w:firstLineChars="200"/>
        <w:rPr>
          <w:rFonts w:ascii="宋体" w:hAnsi="宋体"/>
          <w:sz w:val="24"/>
        </w:rPr>
      </w:pPr>
      <w:r>
        <w:rPr>
          <w:rFonts w:hint="eastAsia" w:ascii="宋体" w:hAnsi="宋体"/>
          <w:sz w:val="24"/>
        </w:rPr>
        <w:t>5.3.4申请单位对现场鉴定评审过程提供的所有资料的真实性负责。</w:t>
      </w:r>
    </w:p>
    <w:p>
      <w:pPr>
        <w:spacing w:line="360" w:lineRule="auto"/>
        <w:rPr>
          <w:rFonts w:ascii="宋体" w:hAnsi="宋体"/>
          <w:b/>
          <w:bCs/>
          <w:sz w:val="24"/>
        </w:rPr>
      </w:pPr>
      <w:r>
        <w:rPr>
          <w:rFonts w:hint="eastAsia" w:ascii="宋体" w:hAnsi="宋体"/>
          <w:b/>
          <w:bCs/>
          <w:sz w:val="24"/>
        </w:rPr>
        <w:t xml:space="preserve">6  现场鉴定评审的配合事项 </w:t>
      </w:r>
    </w:p>
    <w:p>
      <w:pPr>
        <w:spacing w:line="360" w:lineRule="auto"/>
        <w:ind w:firstLine="480" w:firstLineChars="200"/>
        <w:rPr>
          <w:rFonts w:ascii="宋体" w:hAnsi="宋体"/>
          <w:sz w:val="24"/>
        </w:rPr>
      </w:pPr>
      <w:r>
        <w:rPr>
          <w:rFonts w:hint="eastAsia" w:ascii="宋体" w:hAnsi="宋体"/>
          <w:sz w:val="24"/>
        </w:rPr>
        <w:t xml:space="preserve">6.1 接到评审机构发出的现场鉴定评审通知函后，申请机构应当及时报告省级特种设备安全监督管理部门，以便其对鉴定评审工作进行现场监督。 </w:t>
      </w:r>
    </w:p>
    <w:p>
      <w:pPr>
        <w:spacing w:line="360" w:lineRule="auto"/>
        <w:ind w:firstLine="480" w:firstLineChars="200"/>
        <w:rPr>
          <w:rFonts w:ascii="宋体" w:hAnsi="宋体"/>
          <w:sz w:val="24"/>
        </w:rPr>
      </w:pPr>
      <w:r>
        <w:rPr>
          <w:rFonts w:hint="eastAsia" w:ascii="宋体" w:hAnsi="宋体"/>
          <w:sz w:val="24"/>
        </w:rPr>
        <w:t xml:space="preserve">6.2 申请机构应当根据评审组长的要求，做好预备会议、首次会议、末次会议的准备工作。 </w:t>
      </w:r>
    </w:p>
    <w:p>
      <w:pPr>
        <w:spacing w:line="360" w:lineRule="auto"/>
        <w:ind w:firstLine="480" w:firstLineChars="200"/>
        <w:rPr>
          <w:rFonts w:ascii="宋体" w:hAnsi="宋体"/>
          <w:sz w:val="24"/>
        </w:rPr>
      </w:pPr>
      <w:r>
        <w:rPr>
          <w:rFonts w:hint="eastAsia" w:ascii="宋体" w:hAnsi="宋体"/>
          <w:sz w:val="24"/>
        </w:rPr>
        <w:t xml:space="preserve">6.3 申请机构应当准备首次会议的汇报材料，并按评审组人数准备质量管理体系文件及配合人员。 </w:t>
      </w:r>
    </w:p>
    <w:p>
      <w:pPr>
        <w:spacing w:line="360" w:lineRule="auto"/>
        <w:ind w:firstLine="480" w:firstLineChars="200"/>
        <w:rPr>
          <w:rFonts w:ascii="宋体" w:hAnsi="宋体" w:cs="黑体"/>
          <w:b/>
          <w:sz w:val="24"/>
        </w:rPr>
      </w:pPr>
      <w:r>
        <w:rPr>
          <w:rFonts w:hint="eastAsia" w:ascii="宋体" w:hAnsi="宋体"/>
          <w:sz w:val="24"/>
        </w:rPr>
        <w:t>6.4 按评审组的要求，完成其它事宜的配合工作。</w:t>
      </w:r>
    </w:p>
    <w:sectPr>
      <w:headerReference r:id="rId5" w:type="default"/>
      <w:footerReference r:id="rId6" w:type="default"/>
      <w:pgSz w:w="11906" w:h="16838"/>
      <w:pgMar w:top="1304" w:right="1134" w:bottom="1021" w:left="1588"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jc w:val="right"/>
      <w:rPr>
        <w:rFonts w:hAnsi="宋体"/>
        <w:sz w:val="18"/>
        <w:szCs w:val="18"/>
      </w:rPr>
    </w:pPr>
    <w:r>
      <w:pict>
        <v:line id="_x0000_s1045" o:spid="_x0000_s1045" o:spt="20" style="position:absolute;left:0pt;margin-left:0pt;margin-top:11.9pt;height:0pt;width:459pt;z-index:251659264;mso-width-relative:page;mso-height-relative:page;" coordsize="21600,21600">
          <v:path arrowok="t"/>
          <v:fill focussize="0,0"/>
          <v:stroke/>
          <v:imagedata o:title=""/>
          <o:lock v:ext="edit"/>
        </v:line>
      </w:pict>
    </w:r>
  </w:p>
  <w:p>
    <w:pPr>
      <w:pStyle w:val="14"/>
      <w:rPr>
        <w:rFonts w:ascii="宋体" w:hAnsi="宋体"/>
        <w:u w:val="single"/>
      </w:rPr>
    </w:pPr>
    <w:r>
      <w:pict>
        <v:shape id="_x0000_s1046" o:spid="_x0000_s1046" o:spt="202" type="#_x0000_t202" style="position:absolute;left:0pt;margin-top:1pt;height:12pt;width:37pt;mso-position-horizontal:center;mso-position-horizontal-relative:margin;z-index:251660288;mso-width-relative:page;mso-height-relative:page;" filled="f" stroked="f" coordsize="21600,21600">
          <v:path/>
          <v:fill on="f" focussize="0,0"/>
          <v:stroke on="f" joinstyle="miter"/>
          <v:imagedata o:title=""/>
          <o:lock v:ext="edit"/>
          <v:textbox inset="0mm,0mm,0mm,0mm" style="mso-fit-shape-to-text:t;">
            <w:txbxContent>
              <w:p>
                <w:pPr>
                  <w:pStyle w:val="14"/>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w:r>
    <w:r>
      <w:rPr>
        <w:rFonts w:hint="eastAsia" w:ascii="宋体" w:hAnsi="宋体"/>
      </w:rPr>
      <w:t>2022年12月10日发布                                                           2023年01月01日实施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pPr>
    <w:r>
      <w:rPr>
        <w:rFonts w:hAnsi="宋体"/>
        <w:sz w:val="18"/>
        <w:szCs w:val="18"/>
      </w:rPr>
      <w:pict>
        <v:line id="直线 1029" o:spid="_x0000_s1047" o:spt="20" style="position:absolute;left:0pt;margin-left:0pt;margin-top:23.35pt;height:0pt;width:459pt;z-index:251661312;mso-width-relative:page;mso-height-relative:page;" coordsize="21600,21600">
          <v:path arrowok="t"/>
          <v:fill focussize="0,0"/>
          <v:stroke/>
          <v:imagedata o:title=""/>
          <o:lock v:ext="edit"/>
        </v:line>
      </w:pict>
    </w:r>
    <w:r>
      <w:rPr>
        <w:rFonts w:hint="eastAsia" w:hAnsi="宋体"/>
        <w:sz w:val="18"/>
        <w:szCs w:val="18"/>
      </w:rPr>
      <w:t>XTXPS/ZN-GD</w:t>
    </w:r>
    <w:r>
      <w:rPr>
        <w:rFonts w:hint="eastAsia" w:hAnsi="宋体"/>
        <w:sz w:val="18"/>
        <w:szCs w:val="18"/>
        <w:lang w:val="en-US" w:eastAsia="zh-CN"/>
      </w:rPr>
      <w:t>Y</w:t>
    </w:r>
    <w:r>
      <w:rPr>
        <w:rFonts w:hint="eastAsia" w:hAnsi="宋体"/>
        <w:sz w:val="18"/>
        <w:szCs w:val="18"/>
      </w:rPr>
      <w:t xml:space="preserve">-2022                                </w:t>
    </w:r>
    <w:r>
      <w:rPr>
        <w:rFonts w:ascii="华文行楷" w:eastAsia="华文行楷"/>
        <w:sz w:val="21"/>
      </w:rPr>
      <w:drawing>
        <wp:inline distT="0" distB="0" distL="0" distR="0">
          <wp:extent cx="256540" cy="232410"/>
          <wp:effectExtent l="0" t="0" r="10160" b="15240"/>
          <wp:docPr id="1" name="图片 1"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57a49cace232bfda4816bfeee5ff"/>
                  <pic:cNvPicPr>
                    <a:picLocks noChangeAspect="1" noChangeArrowheads="1"/>
                  </pic:cNvPicPr>
                </pic:nvPicPr>
                <pic:blipFill>
                  <a:blip r:embed="rId1"/>
                  <a:srcRect/>
                  <a:stretch>
                    <a:fillRect/>
                  </a:stretch>
                </pic:blipFill>
                <pic:spPr>
                  <a:xfrm>
                    <a:off x="0" y="0"/>
                    <a:ext cx="256540" cy="232410"/>
                  </a:xfrm>
                  <a:prstGeom prst="rect">
                    <a:avLst/>
                  </a:prstGeom>
                  <a:noFill/>
                  <a:ln w="9525">
                    <a:noFill/>
                    <a:miter lim="800000"/>
                    <a:headEnd/>
                    <a:tailEnd/>
                  </a:ln>
                </pic:spPr>
              </pic:pic>
            </a:graphicData>
          </a:graphic>
        </wp:inline>
      </w:drawing>
    </w:r>
    <w:r>
      <w:rPr>
        <w:rFonts w:hint="eastAsia" w:hAnsi="宋体"/>
        <w:sz w:val="18"/>
        <w:szCs w:val="18"/>
      </w:rPr>
      <w:t xml:space="preserve">                                        </w:t>
    </w:r>
    <w:r>
      <w:rPr>
        <w:rStyle w:val="22"/>
        <w:rFonts w:hint="eastAsia" w:hAnsi="宋体" w:cs="宋体"/>
        <w:bCs/>
        <w:sz w:val="18"/>
        <w:szCs w:val="18"/>
      </w:rPr>
      <w:t>专用指南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11FF5"/>
    <w:rsid w:val="00012E9B"/>
    <w:rsid w:val="00016C90"/>
    <w:rsid w:val="00022E43"/>
    <w:rsid w:val="0002321A"/>
    <w:rsid w:val="00023EDE"/>
    <w:rsid w:val="00025CAB"/>
    <w:rsid w:val="000263CF"/>
    <w:rsid w:val="00026CDA"/>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71C3"/>
    <w:rsid w:val="00050AF3"/>
    <w:rsid w:val="000522C8"/>
    <w:rsid w:val="00054376"/>
    <w:rsid w:val="00054E73"/>
    <w:rsid w:val="00056F8A"/>
    <w:rsid w:val="00057C87"/>
    <w:rsid w:val="00061BF9"/>
    <w:rsid w:val="00061D52"/>
    <w:rsid w:val="00062110"/>
    <w:rsid w:val="000653DE"/>
    <w:rsid w:val="0006591C"/>
    <w:rsid w:val="00066AFD"/>
    <w:rsid w:val="000702CC"/>
    <w:rsid w:val="0007043F"/>
    <w:rsid w:val="0007167B"/>
    <w:rsid w:val="00071E6F"/>
    <w:rsid w:val="000722D7"/>
    <w:rsid w:val="00072D18"/>
    <w:rsid w:val="00072DEB"/>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7E10"/>
    <w:rsid w:val="000A14FB"/>
    <w:rsid w:val="000A202E"/>
    <w:rsid w:val="000A2146"/>
    <w:rsid w:val="000A3AA5"/>
    <w:rsid w:val="000A4EE5"/>
    <w:rsid w:val="000A5D84"/>
    <w:rsid w:val="000A61A3"/>
    <w:rsid w:val="000A649B"/>
    <w:rsid w:val="000A68D8"/>
    <w:rsid w:val="000A6C3A"/>
    <w:rsid w:val="000A7928"/>
    <w:rsid w:val="000B105F"/>
    <w:rsid w:val="000B1AC1"/>
    <w:rsid w:val="000B327F"/>
    <w:rsid w:val="000B3555"/>
    <w:rsid w:val="000B566A"/>
    <w:rsid w:val="000B5A28"/>
    <w:rsid w:val="000B6924"/>
    <w:rsid w:val="000B6B2A"/>
    <w:rsid w:val="000C0425"/>
    <w:rsid w:val="000C3FB8"/>
    <w:rsid w:val="000C4F45"/>
    <w:rsid w:val="000C4F48"/>
    <w:rsid w:val="000C61A4"/>
    <w:rsid w:val="000C6650"/>
    <w:rsid w:val="000C7D24"/>
    <w:rsid w:val="000C7EA0"/>
    <w:rsid w:val="000D40E8"/>
    <w:rsid w:val="000D45F5"/>
    <w:rsid w:val="000D5649"/>
    <w:rsid w:val="000D6CF2"/>
    <w:rsid w:val="000E36E4"/>
    <w:rsid w:val="000E4C46"/>
    <w:rsid w:val="00102347"/>
    <w:rsid w:val="001023B7"/>
    <w:rsid w:val="00103662"/>
    <w:rsid w:val="001038CD"/>
    <w:rsid w:val="00103927"/>
    <w:rsid w:val="00105602"/>
    <w:rsid w:val="00105CC7"/>
    <w:rsid w:val="00105DEB"/>
    <w:rsid w:val="001061CF"/>
    <w:rsid w:val="001077E5"/>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F24"/>
    <w:rsid w:val="00185497"/>
    <w:rsid w:val="0018594D"/>
    <w:rsid w:val="00186BBE"/>
    <w:rsid w:val="00190DB7"/>
    <w:rsid w:val="00192364"/>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2182"/>
    <w:rsid w:val="00214AEF"/>
    <w:rsid w:val="00214EA3"/>
    <w:rsid w:val="00215152"/>
    <w:rsid w:val="00216043"/>
    <w:rsid w:val="00217A0B"/>
    <w:rsid w:val="00220E10"/>
    <w:rsid w:val="0022210B"/>
    <w:rsid w:val="00222153"/>
    <w:rsid w:val="0022216B"/>
    <w:rsid w:val="00222338"/>
    <w:rsid w:val="00222E0F"/>
    <w:rsid w:val="0022326E"/>
    <w:rsid w:val="00223306"/>
    <w:rsid w:val="00223555"/>
    <w:rsid w:val="0022434B"/>
    <w:rsid w:val="002249F6"/>
    <w:rsid w:val="00224D96"/>
    <w:rsid w:val="00226B9A"/>
    <w:rsid w:val="0022701E"/>
    <w:rsid w:val="00227EB1"/>
    <w:rsid w:val="00230078"/>
    <w:rsid w:val="002310BE"/>
    <w:rsid w:val="00231AB4"/>
    <w:rsid w:val="00231BB4"/>
    <w:rsid w:val="00232382"/>
    <w:rsid w:val="002328B4"/>
    <w:rsid w:val="00234723"/>
    <w:rsid w:val="00234B3E"/>
    <w:rsid w:val="002373BF"/>
    <w:rsid w:val="00237941"/>
    <w:rsid w:val="0024035C"/>
    <w:rsid w:val="00240DAA"/>
    <w:rsid w:val="002415CF"/>
    <w:rsid w:val="0024187B"/>
    <w:rsid w:val="00241F0C"/>
    <w:rsid w:val="002433FE"/>
    <w:rsid w:val="0024353E"/>
    <w:rsid w:val="002464C8"/>
    <w:rsid w:val="002478A1"/>
    <w:rsid w:val="00250331"/>
    <w:rsid w:val="002510AF"/>
    <w:rsid w:val="00251379"/>
    <w:rsid w:val="00252AD7"/>
    <w:rsid w:val="0025496C"/>
    <w:rsid w:val="00254C9B"/>
    <w:rsid w:val="00257FEA"/>
    <w:rsid w:val="00261824"/>
    <w:rsid w:val="00264813"/>
    <w:rsid w:val="0026551F"/>
    <w:rsid w:val="00265D9F"/>
    <w:rsid w:val="00266444"/>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7E73"/>
    <w:rsid w:val="002909BD"/>
    <w:rsid w:val="00291DC4"/>
    <w:rsid w:val="00292FC2"/>
    <w:rsid w:val="00295297"/>
    <w:rsid w:val="002958F2"/>
    <w:rsid w:val="00295C4E"/>
    <w:rsid w:val="002A192E"/>
    <w:rsid w:val="002A1B8A"/>
    <w:rsid w:val="002A37B0"/>
    <w:rsid w:val="002A3869"/>
    <w:rsid w:val="002A4B74"/>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D08"/>
    <w:rsid w:val="002C65BB"/>
    <w:rsid w:val="002D1221"/>
    <w:rsid w:val="002D2552"/>
    <w:rsid w:val="002D2B92"/>
    <w:rsid w:val="002D3934"/>
    <w:rsid w:val="002D3D06"/>
    <w:rsid w:val="002D43AB"/>
    <w:rsid w:val="002D64F0"/>
    <w:rsid w:val="002D6D51"/>
    <w:rsid w:val="002D7B93"/>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22AB1"/>
    <w:rsid w:val="003307E8"/>
    <w:rsid w:val="00332666"/>
    <w:rsid w:val="00335607"/>
    <w:rsid w:val="00335D83"/>
    <w:rsid w:val="00335F63"/>
    <w:rsid w:val="00337830"/>
    <w:rsid w:val="003420A7"/>
    <w:rsid w:val="00343756"/>
    <w:rsid w:val="00343DAA"/>
    <w:rsid w:val="00343EC9"/>
    <w:rsid w:val="0034449E"/>
    <w:rsid w:val="00346F2D"/>
    <w:rsid w:val="0035028E"/>
    <w:rsid w:val="00351581"/>
    <w:rsid w:val="0035326C"/>
    <w:rsid w:val="00353D71"/>
    <w:rsid w:val="00355191"/>
    <w:rsid w:val="00355DD4"/>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5306"/>
    <w:rsid w:val="00395870"/>
    <w:rsid w:val="00395F84"/>
    <w:rsid w:val="00396C35"/>
    <w:rsid w:val="003A172C"/>
    <w:rsid w:val="003A2626"/>
    <w:rsid w:val="003A30E1"/>
    <w:rsid w:val="003A4AD3"/>
    <w:rsid w:val="003A590C"/>
    <w:rsid w:val="003B06EA"/>
    <w:rsid w:val="003B2F6E"/>
    <w:rsid w:val="003B37CB"/>
    <w:rsid w:val="003B484B"/>
    <w:rsid w:val="003B75BD"/>
    <w:rsid w:val="003C462E"/>
    <w:rsid w:val="003C475D"/>
    <w:rsid w:val="003C5176"/>
    <w:rsid w:val="003C565A"/>
    <w:rsid w:val="003C71E9"/>
    <w:rsid w:val="003D0429"/>
    <w:rsid w:val="003D18E9"/>
    <w:rsid w:val="003D2AC4"/>
    <w:rsid w:val="003D2D5F"/>
    <w:rsid w:val="003D3616"/>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4ADD"/>
    <w:rsid w:val="003F564A"/>
    <w:rsid w:val="00401916"/>
    <w:rsid w:val="00401A0B"/>
    <w:rsid w:val="0040477A"/>
    <w:rsid w:val="00404781"/>
    <w:rsid w:val="00406AAD"/>
    <w:rsid w:val="00407667"/>
    <w:rsid w:val="00407CA7"/>
    <w:rsid w:val="0041092A"/>
    <w:rsid w:val="0041096A"/>
    <w:rsid w:val="004109B8"/>
    <w:rsid w:val="00411087"/>
    <w:rsid w:val="004113A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1361"/>
    <w:rsid w:val="00461A68"/>
    <w:rsid w:val="004636A9"/>
    <w:rsid w:val="00464F97"/>
    <w:rsid w:val="0046771F"/>
    <w:rsid w:val="00472EBA"/>
    <w:rsid w:val="00473289"/>
    <w:rsid w:val="00474298"/>
    <w:rsid w:val="00474488"/>
    <w:rsid w:val="0047586A"/>
    <w:rsid w:val="00475D36"/>
    <w:rsid w:val="00480B39"/>
    <w:rsid w:val="0048111F"/>
    <w:rsid w:val="00481E2A"/>
    <w:rsid w:val="004825FD"/>
    <w:rsid w:val="00482D3C"/>
    <w:rsid w:val="00483351"/>
    <w:rsid w:val="00483860"/>
    <w:rsid w:val="004848CA"/>
    <w:rsid w:val="00484D52"/>
    <w:rsid w:val="004858F0"/>
    <w:rsid w:val="00486B42"/>
    <w:rsid w:val="00487309"/>
    <w:rsid w:val="00492A0C"/>
    <w:rsid w:val="00494693"/>
    <w:rsid w:val="004A04F4"/>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8DA"/>
    <w:rsid w:val="00512FCB"/>
    <w:rsid w:val="00520D6E"/>
    <w:rsid w:val="0052378F"/>
    <w:rsid w:val="00523A20"/>
    <w:rsid w:val="00524540"/>
    <w:rsid w:val="00524F0B"/>
    <w:rsid w:val="005257FA"/>
    <w:rsid w:val="00530232"/>
    <w:rsid w:val="0053254E"/>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8ED"/>
    <w:rsid w:val="00551338"/>
    <w:rsid w:val="00551BD9"/>
    <w:rsid w:val="00554672"/>
    <w:rsid w:val="00554BE0"/>
    <w:rsid w:val="005563A4"/>
    <w:rsid w:val="005575B5"/>
    <w:rsid w:val="00557F40"/>
    <w:rsid w:val="005601AD"/>
    <w:rsid w:val="0056234C"/>
    <w:rsid w:val="005660DF"/>
    <w:rsid w:val="00570538"/>
    <w:rsid w:val="00571BAD"/>
    <w:rsid w:val="00572038"/>
    <w:rsid w:val="0057398C"/>
    <w:rsid w:val="0057421F"/>
    <w:rsid w:val="005744D6"/>
    <w:rsid w:val="0057463B"/>
    <w:rsid w:val="0057469D"/>
    <w:rsid w:val="00574977"/>
    <w:rsid w:val="00575839"/>
    <w:rsid w:val="00575B87"/>
    <w:rsid w:val="00575FC9"/>
    <w:rsid w:val="00577146"/>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B0"/>
    <w:rsid w:val="0059588B"/>
    <w:rsid w:val="00596362"/>
    <w:rsid w:val="005A00AB"/>
    <w:rsid w:val="005A08BC"/>
    <w:rsid w:val="005A0C5D"/>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45DB"/>
    <w:rsid w:val="005D6EA3"/>
    <w:rsid w:val="005E0BFB"/>
    <w:rsid w:val="005E1ED3"/>
    <w:rsid w:val="005E23A6"/>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3243"/>
    <w:rsid w:val="0060456C"/>
    <w:rsid w:val="00606927"/>
    <w:rsid w:val="006073CC"/>
    <w:rsid w:val="0061022F"/>
    <w:rsid w:val="006108DD"/>
    <w:rsid w:val="00610B7D"/>
    <w:rsid w:val="00610EDE"/>
    <w:rsid w:val="00612169"/>
    <w:rsid w:val="00612749"/>
    <w:rsid w:val="006132D1"/>
    <w:rsid w:val="00614FBC"/>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BD2"/>
    <w:rsid w:val="0064412B"/>
    <w:rsid w:val="00644FCD"/>
    <w:rsid w:val="0064519E"/>
    <w:rsid w:val="00645A4A"/>
    <w:rsid w:val="00646046"/>
    <w:rsid w:val="00647417"/>
    <w:rsid w:val="006476B8"/>
    <w:rsid w:val="006479C9"/>
    <w:rsid w:val="00650A64"/>
    <w:rsid w:val="006511E5"/>
    <w:rsid w:val="00652863"/>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71B1"/>
    <w:rsid w:val="00677B0E"/>
    <w:rsid w:val="0068035E"/>
    <w:rsid w:val="00680592"/>
    <w:rsid w:val="006808CD"/>
    <w:rsid w:val="00680CA7"/>
    <w:rsid w:val="0068127E"/>
    <w:rsid w:val="006818C9"/>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483E"/>
    <w:rsid w:val="006D585A"/>
    <w:rsid w:val="006D705C"/>
    <w:rsid w:val="006E1BE2"/>
    <w:rsid w:val="006E1D48"/>
    <w:rsid w:val="006E2382"/>
    <w:rsid w:val="006E4CAC"/>
    <w:rsid w:val="006E59D6"/>
    <w:rsid w:val="006E5EE8"/>
    <w:rsid w:val="006E6AAF"/>
    <w:rsid w:val="006E6BBB"/>
    <w:rsid w:val="006F05E0"/>
    <w:rsid w:val="006F1370"/>
    <w:rsid w:val="006F1501"/>
    <w:rsid w:val="006F223A"/>
    <w:rsid w:val="006F2939"/>
    <w:rsid w:val="006F3820"/>
    <w:rsid w:val="00703596"/>
    <w:rsid w:val="007037EB"/>
    <w:rsid w:val="0070566F"/>
    <w:rsid w:val="007057C6"/>
    <w:rsid w:val="00705C84"/>
    <w:rsid w:val="00705D76"/>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615"/>
    <w:rsid w:val="00765A35"/>
    <w:rsid w:val="00765FBA"/>
    <w:rsid w:val="00766219"/>
    <w:rsid w:val="0076669A"/>
    <w:rsid w:val="0076674B"/>
    <w:rsid w:val="00766C3F"/>
    <w:rsid w:val="007706BD"/>
    <w:rsid w:val="007724CE"/>
    <w:rsid w:val="007743DA"/>
    <w:rsid w:val="007748AB"/>
    <w:rsid w:val="00777186"/>
    <w:rsid w:val="0077755D"/>
    <w:rsid w:val="007775B4"/>
    <w:rsid w:val="00781405"/>
    <w:rsid w:val="007824BB"/>
    <w:rsid w:val="0078261B"/>
    <w:rsid w:val="00784BA6"/>
    <w:rsid w:val="00785B95"/>
    <w:rsid w:val="00785EC0"/>
    <w:rsid w:val="00787EF7"/>
    <w:rsid w:val="00791A27"/>
    <w:rsid w:val="0079342B"/>
    <w:rsid w:val="00794AD8"/>
    <w:rsid w:val="00794C7A"/>
    <w:rsid w:val="00794E77"/>
    <w:rsid w:val="0079775D"/>
    <w:rsid w:val="007A40A1"/>
    <w:rsid w:val="007A4819"/>
    <w:rsid w:val="007A50D8"/>
    <w:rsid w:val="007A528E"/>
    <w:rsid w:val="007A69CB"/>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172C"/>
    <w:rsid w:val="007E37A6"/>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79D"/>
    <w:rsid w:val="00807BE3"/>
    <w:rsid w:val="008108AD"/>
    <w:rsid w:val="00810B5A"/>
    <w:rsid w:val="00813C5C"/>
    <w:rsid w:val="00813CE2"/>
    <w:rsid w:val="00814255"/>
    <w:rsid w:val="008146D3"/>
    <w:rsid w:val="00815669"/>
    <w:rsid w:val="008167B5"/>
    <w:rsid w:val="0081721E"/>
    <w:rsid w:val="00822764"/>
    <w:rsid w:val="00822B31"/>
    <w:rsid w:val="008240FA"/>
    <w:rsid w:val="00825C91"/>
    <w:rsid w:val="008273A8"/>
    <w:rsid w:val="00827490"/>
    <w:rsid w:val="0083060A"/>
    <w:rsid w:val="008316FD"/>
    <w:rsid w:val="00831714"/>
    <w:rsid w:val="00832262"/>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306E"/>
    <w:rsid w:val="008D3E2C"/>
    <w:rsid w:val="008D4AC1"/>
    <w:rsid w:val="008D6B59"/>
    <w:rsid w:val="008D6F58"/>
    <w:rsid w:val="008E23D5"/>
    <w:rsid w:val="008E283B"/>
    <w:rsid w:val="008E3013"/>
    <w:rsid w:val="008E321F"/>
    <w:rsid w:val="008E4BF7"/>
    <w:rsid w:val="008E76A1"/>
    <w:rsid w:val="008E7C7D"/>
    <w:rsid w:val="008F1002"/>
    <w:rsid w:val="008F10C4"/>
    <w:rsid w:val="008F47A2"/>
    <w:rsid w:val="008F723E"/>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1100"/>
    <w:rsid w:val="0093115D"/>
    <w:rsid w:val="00931E7D"/>
    <w:rsid w:val="00933A5F"/>
    <w:rsid w:val="0093498D"/>
    <w:rsid w:val="00936408"/>
    <w:rsid w:val="00936B8E"/>
    <w:rsid w:val="00937B28"/>
    <w:rsid w:val="00941330"/>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331"/>
    <w:rsid w:val="00965349"/>
    <w:rsid w:val="00966842"/>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30AA"/>
    <w:rsid w:val="009B39A3"/>
    <w:rsid w:val="009B4482"/>
    <w:rsid w:val="009B5040"/>
    <w:rsid w:val="009B63C6"/>
    <w:rsid w:val="009B6E3B"/>
    <w:rsid w:val="009B70EB"/>
    <w:rsid w:val="009B7435"/>
    <w:rsid w:val="009C035C"/>
    <w:rsid w:val="009C212D"/>
    <w:rsid w:val="009C3F60"/>
    <w:rsid w:val="009C5A7F"/>
    <w:rsid w:val="009C61CB"/>
    <w:rsid w:val="009D02CF"/>
    <w:rsid w:val="009D0CC8"/>
    <w:rsid w:val="009D18D1"/>
    <w:rsid w:val="009D23A1"/>
    <w:rsid w:val="009D2CDB"/>
    <w:rsid w:val="009D30B5"/>
    <w:rsid w:val="009D3DDA"/>
    <w:rsid w:val="009D3DFB"/>
    <w:rsid w:val="009D5C39"/>
    <w:rsid w:val="009D6E06"/>
    <w:rsid w:val="009D7858"/>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3D92"/>
    <w:rsid w:val="00A55431"/>
    <w:rsid w:val="00A55B32"/>
    <w:rsid w:val="00A56822"/>
    <w:rsid w:val="00A57066"/>
    <w:rsid w:val="00A60F1A"/>
    <w:rsid w:val="00A611B3"/>
    <w:rsid w:val="00A614B8"/>
    <w:rsid w:val="00A61CF2"/>
    <w:rsid w:val="00A62A82"/>
    <w:rsid w:val="00A63D33"/>
    <w:rsid w:val="00A64A8A"/>
    <w:rsid w:val="00A64E07"/>
    <w:rsid w:val="00A65FEF"/>
    <w:rsid w:val="00A67249"/>
    <w:rsid w:val="00A67806"/>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791"/>
    <w:rsid w:val="00B22891"/>
    <w:rsid w:val="00B23216"/>
    <w:rsid w:val="00B24866"/>
    <w:rsid w:val="00B24C82"/>
    <w:rsid w:val="00B30F08"/>
    <w:rsid w:val="00B325B5"/>
    <w:rsid w:val="00B32A43"/>
    <w:rsid w:val="00B33A61"/>
    <w:rsid w:val="00B33B3F"/>
    <w:rsid w:val="00B33FCD"/>
    <w:rsid w:val="00B340D6"/>
    <w:rsid w:val="00B36138"/>
    <w:rsid w:val="00B36ECC"/>
    <w:rsid w:val="00B3732D"/>
    <w:rsid w:val="00B37C9D"/>
    <w:rsid w:val="00B40CEC"/>
    <w:rsid w:val="00B41D82"/>
    <w:rsid w:val="00B453CB"/>
    <w:rsid w:val="00B45400"/>
    <w:rsid w:val="00B45954"/>
    <w:rsid w:val="00B45FA6"/>
    <w:rsid w:val="00B46490"/>
    <w:rsid w:val="00B465C0"/>
    <w:rsid w:val="00B47534"/>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A87"/>
    <w:rsid w:val="00B66200"/>
    <w:rsid w:val="00B70AD0"/>
    <w:rsid w:val="00B70E4A"/>
    <w:rsid w:val="00B72B7C"/>
    <w:rsid w:val="00B73798"/>
    <w:rsid w:val="00B73FF7"/>
    <w:rsid w:val="00B746E7"/>
    <w:rsid w:val="00B74FCD"/>
    <w:rsid w:val="00B75C22"/>
    <w:rsid w:val="00B767F1"/>
    <w:rsid w:val="00B77696"/>
    <w:rsid w:val="00B779D2"/>
    <w:rsid w:val="00B81B90"/>
    <w:rsid w:val="00B82B5A"/>
    <w:rsid w:val="00B82D53"/>
    <w:rsid w:val="00B82F6A"/>
    <w:rsid w:val="00B83215"/>
    <w:rsid w:val="00B83E4F"/>
    <w:rsid w:val="00B850E2"/>
    <w:rsid w:val="00B85384"/>
    <w:rsid w:val="00B85467"/>
    <w:rsid w:val="00B8691E"/>
    <w:rsid w:val="00B87564"/>
    <w:rsid w:val="00B875A5"/>
    <w:rsid w:val="00B879C7"/>
    <w:rsid w:val="00B87FCC"/>
    <w:rsid w:val="00B91C67"/>
    <w:rsid w:val="00B923C9"/>
    <w:rsid w:val="00B929E1"/>
    <w:rsid w:val="00B92EA8"/>
    <w:rsid w:val="00B939B5"/>
    <w:rsid w:val="00B93E9F"/>
    <w:rsid w:val="00B940C7"/>
    <w:rsid w:val="00B95E3F"/>
    <w:rsid w:val="00B96241"/>
    <w:rsid w:val="00B96D52"/>
    <w:rsid w:val="00BA0440"/>
    <w:rsid w:val="00BA0CB6"/>
    <w:rsid w:val="00BA0DD5"/>
    <w:rsid w:val="00BA1BE8"/>
    <w:rsid w:val="00BA233B"/>
    <w:rsid w:val="00BA3B17"/>
    <w:rsid w:val="00BA3EEF"/>
    <w:rsid w:val="00BA66AC"/>
    <w:rsid w:val="00BA7FA0"/>
    <w:rsid w:val="00BB1C21"/>
    <w:rsid w:val="00BB5B65"/>
    <w:rsid w:val="00BC2267"/>
    <w:rsid w:val="00BC32FA"/>
    <w:rsid w:val="00BC330C"/>
    <w:rsid w:val="00BC36F2"/>
    <w:rsid w:val="00BC3A00"/>
    <w:rsid w:val="00BC6611"/>
    <w:rsid w:val="00BC6CB2"/>
    <w:rsid w:val="00BC7909"/>
    <w:rsid w:val="00BD000B"/>
    <w:rsid w:val="00BD0593"/>
    <w:rsid w:val="00BD3FB2"/>
    <w:rsid w:val="00BD4080"/>
    <w:rsid w:val="00BD43DD"/>
    <w:rsid w:val="00BD492C"/>
    <w:rsid w:val="00BD668D"/>
    <w:rsid w:val="00BD6F45"/>
    <w:rsid w:val="00BD71EC"/>
    <w:rsid w:val="00BD79B9"/>
    <w:rsid w:val="00BE2760"/>
    <w:rsid w:val="00BE2929"/>
    <w:rsid w:val="00BE47D4"/>
    <w:rsid w:val="00BE47FE"/>
    <w:rsid w:val="00BE67E4"/>
    <w:rsid w:val="00BE6DE0"/>
    <w:rsid w:val="00BF03F7"/>
    <w:rsid w:val="00BF2F06"/>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3A"/>
    <w:rsid w:val="00C64826"/>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E55"/>
    <w:rsid w:val="00C84F0F"/>
    <w:rsid w:val="00C85010"/>
    <w:rsid w:val="00C85066"/>
    <w:rsid w:val="00C85590"/>
    <w:rsid w:val="00C85F79"/>
    <w:rsid w:val="00C86462"/>
    <w:rsid w:val="00C9018B"/>
    <w:rsid w:val="00C91909"/>
    <w:rsid w:val="00CA05FA"/>
    <w:rsid w:val="00CA1748"/>
    <w:rsid w:val="00CA1C7C"/>
    <w:rsid w:val="00CA3D32"/>
    <w:rsid w:val="00CA5510"/>
    <w:rsid w:val="00CA6A20"/>
    <w:rsid w:val="00CA6DE5"/>
    <w:rsid w:val="00CA74BC"/>
    <w:rsid w:val="00CB1CC8"/>
    <w:rsid w:val="00CB2A16"/>
    <w:rsid w:val="00CB2F0F"/>
    <w:rsid w:val="00CB4087"/>
    <w:rsid w:val="00CB41F8"/>
    <w:rsid w:val="00CB49C5"/>
    <w:rsid w:val="00CB7ED4"/>
    <w:rsid w:val="00CC135F"/>
    <w:rsid w:val="00CC294C"/>
    <w:rsid w:val="00CC4951"/>
    <w:rsid w:val="00CC4FC5"/>
    <w:rsid w:val="00CC5A3C"/>
    <w:rsid w:val="00CC63B8"/>
    <w:rsid w:val="00CC7309"/>
    <w:rsid w:val="00CC7B53"/>
    <w:rsid w:val="00CD0107"/>
    <w:rsid w:val="00CD11FE"/>
    <w:rsid w:val="00CD25E0"/>
    <w:rsid w:val="00CD2762"/>
    <w:rsid w:val="00CD31AB"/>
    <w:rsid w:val="00CD5A25"/>
    <w:rsid w:val="00CD6B17"/>
    <w:rsid w:val="00CD7797"/>
    <w:rsid w:val="00CD7BAC"/>
    <w:rsid w:val="00CE06A7"/>
    <w:rsid w:val="00CE0C90"/>
    <w:rsid w:val="00CE1035"/>
    <w:rsid w:val="00CE126C"/>
    <w:rsid w:val="00CE1945"/>
    <w:rsid w:val="00CE417E"/>
    <w:rsid w:val="00CE4CE5"/>
    <w:rsid w:val="00CE5F6C"/>
    <w:rsid w:val="00CE72EE"/>
    <w:rsid w:val="00CF026F"/>
    <w:rsid w:val="00CF0CA9"/>
    <w:rsid w:val="00CF120E"/>
    <w:rsid w:val="00CF20EC"/>
    <w:rsid w:val="00CF4AF7"/>
    <w:rsid w:val="00CF54E2"/>
    <w:rsid w:val="00CF6214"/>
    <w:rsid w:val="00CF6874"/>
    <w:rsid w:val="00CF7BA2"/>
    <w:rsid w:val="00D009CE"/>
    <w:rsid w:val="00D01832"/>
    <w:rsid w:val="00D01DDC"/>
    <w:rsid w:val="00D038C4"/>
    <w:rsid w:val="00D0494A"/>
    <w:rsid w:val="00D04FE9"/>
    <w:rsid w:val="00D05274"/>
    <w:rsid w:val="00D06125"/>
    <w:rsid w:val="00D11F79"/>
    <w:rsid w:val="00D12D2A"/>
    <w:rsid w:val="00D1364A"/>
    <w:rsid w:val="00D1647C"/>
    <w:rsid w:val="00D16BA1"/>
    <w:rsid w:val="00D16E90"/>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4082"/>
    <w:rsid w:val="00D44F8B"/>
    <w:rsid w:val="00D452D6"/>
    <w:rsid w:val="00D45840"/>
    <w:rsid w:val="00D45C0E"/>
    <w:rsid w:val="00D462C0"/>
    <w:rsid w:val="00D467C3"/>
    <w:rsid w:val="00D46BD6"/>
    <w:rsid w:val="00D46F5C"/>
    <w:rsid w:val="00D476FD"/>
    <w:rsid w:val="00D51326"/>
    <w:rsid w:val="00D5162E"/>
    <w:rsid w:val="00D52A41"/>
    <w:rsid w:val="00D52F29"/>
    <w:rsid w:val="00D53F35"/>
    <w:rsid w:val="00D54660"/>
    <w:rsid w:val="00D564B5"/>
    <w:rsid w:val="00D5732E"/>
    <w:rsid w:val="00D61E00"/>
    <w:rsid w:val="00D621FE"/>
    <w:rsid w:val="00D631F1"/>
    <w:rsid w:val="00D639DB"/>
    <w:rsid w:val="00D65273"/>
    <w:rsid w:val="00D6775C"/>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F68"/>
    <w:rsid w:val="00DD10E8"/>
    <w:rsid w:val="00DD1272"/>
    <w:rsid w:val="00DD19B8"/>
    <w:rsid w:val="00DD2124"/>
    <w:rsid w:val="00DD2127"/>
    <w:rsid w:val="00DD2136"/>
    <w:rsid w:val="00DD368A"/>
    <w:rsid w:val="00DD463C"/>
    <w:rsid w:val="00DD628F"/>
    <w:rsid w:val="00DD74E8"/>
    <w:rsid w:val="00DD7EF5"/>
    <w:rsid w:val="00DE129B"/>
    <w:rsid w:val="00DE1B33"/>
    <w:rsid w:val="00DE3062"/>
    <w:rsid w:val="00DE3AA5"/>
    <w:rsid w:val="00DE5635"/>
    <w:rsid w:val="00DF1979"/>
    <w:rsid w:val="00DF1E8C"/>
    <w:rsid w:val="00DF221B"/>
    <w:rsid w:val="00DF23F9"/>
    <w:rsid w:val="00DF28ED"/>
    <w:rsid w:val="00DF3371"/>
    <w:rsid w:val="00DF5C4C"/>
    <w:rsid w:val="00DF6747"/>
    <w:rsid w:val="00E00EE4"/>
    <w:rsid w:val="00E058F6"/>
    <w:rsid w:val="00E059B9"/>
    <w:rsid w:val="00E103DF"/>
    <w:rsid w:val="00E10502"/>
    <w:rsid w:val="00E1106B"/>
    <w:rsid w:val="00E11441"/>
    <w:rsid w:val="00E12798"/>
    <w:rsid w:val="00E132FB"/>
    <w:rsid w:val="00E152DC"/>
    <w:rsid w:val="00E16F6D"/>
    <w:rsid w:val="00E213E5"/>
    <w:rsid w:val="00E21B4F"/>
    <w:rsid w:val="00E21DFA"/>
    <w:rsid w:val="00E22589"/>
    <w:rsid w:val="00E22DA2"/>
    <w:rsid w:val="00E234A9"/>
    <w:rsid w:val="00E2408F"/>
    <w:rsid w:val="00E26C4F"/>
    <w:rsid w:val="00E3097A"/>
    <w:rsid w:val="00E30D89"/>
    <w:rsid w:val="00E3117C"/>
    <w:rsid w:val="00E31180"/>
    <w:rsid w:val="00E31D65"/>
    <w:rsid w:val="00E3397A"/>
    <w:rsid w:val="00E339DE"/>
    <w:rsid w:val="00E346D9"/>
    <w:rsid w:val="00E34A58"/>
    <w:rsid w:val="00E3673F"/>
    <w:rsid w:val="00E3703B"/>
    <w:rsid w:val="00E41345"/>
    <w:rsid w:val="00E4668A"/>
    <w:rsid w:val="00E50660"/>
    <w:rsid w:val="00E5286F"/>
    <w:rsid w:val="00E52A1A"/>
    <w:rsid w:val="00E52E66"/>
    <w:rsid w:val="00E53B98"/>
    <w:rsid w:val="00E57EEB"/>
    <w:rsid w:val="00E60862"/>
    <w:rsid w:val="00E6089A"/>
    <w:rsid w:val="00E61518"/>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751"/>
    <w:rsid w:val="00EC447D"/>
    <w:rsid w:val="00EC45E6"/>
    <w:rsid w:val="00EC7E67"/>
    <w:rsid w:val="00ED066D"/>
    <w:rsid w:val="00ED24C6"/>
    <w:rsid w:val="00ED3461"/>
    <w:rsid w:val="00ED3C61"/>
    <w:rsid w:val="00ED47A4"/>
    <w:rsid w:val="00ED4A79"/>
    <w:rsid w:val="00ED4E61"/>
    <w:rsid w:val="00ED555D"/>
    <w:rsid w:val="00ED6FB1"/>
    <w:rsid w:val="00ED7C6F"/>
    <w:rsid w:val="00EE0F1B"/>
    <w:rsid w:val="00EE1472"/>
    <w:rsid w:val="00EE17C2"/>
    <w:rsid w:val="00EE1956"/>
    <w:rsid w:val="00EE23BB"/>
    <w:rsid w:val="00EE3362"/>
    <w:rsid w:val="00EE38A4"/>
    <w:rsid w:val="00EE41E9"/>
    <w:rsid w:val="00EE4B03"/>
    <w:rsid w:val="00EE67B7"/>
    <w:rsid w:val="00EE7634"/>
    <w:rsid w:val="00EE7D2D"/>
    <w:rsid w:val="00EE7E8A"/>
    <w:rsid w:val="00EF1807"/>
    <w:rsid w:val="00EF2AF7"/>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322A"/>
    <w:rsid w:val="00F936F8"/>
    <w:rsid w:val="00F93855"/>
    <w:rsid w:val="00F94F38"/>
    <w:rsid w:val="00F95705"/>
    <w:rsid w:val="00F9665C"/>
    <w:rsid w:val="00FA0933"/>
    <w:rsid w:val="00FA0E80"/>
    <w:rsid w:val="00FA3D73"/>
    <w:rsid w:val="00FA4D57"/>
    <w:rsid w:val="00FA56A6"/>
    <w:rsid w:val="00FA6794"/>
    <w:rsid w:val="00FA6A67"/>
    <w:rsid w:val="00FA6FF2"/>
    <w:rsid w:val="00FB23EB"/>
    <w:rsid w:val="00FB2977"/>
    <w:rsid w:val="00FB3D29"/>
    <w:rsid w:val="00FB4210"/>
    <w:rsid w:val="00FC2960"/>
    <w:rsid w:val="00FC3B98"/>
    <w:rsid w:val="00FC464C"/>
    <w:rsid w:val="00FC5995"/>
    <w:rsid w:val="00FC68B8"/>
    <w:rsid w:val="00FC7FA8"/>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7BDF"/>
    <w:rsid w:val="00FE7E44"/>
    <w:rsid w:val="00FF49DD"/>
    <w:rsid w:val="00FF4A9A"/>
    <w:rsid w:val="00FF4A9B"/>
    <w:rsid w:val="00FF57CC"/>
    <w:rsid w:val="00FF6722"/>
    <w:rsid w:val="013F1DC9"/>
    <w:rsid w:val="016C7468"/>
    <w:rsid w:val="017839B4"/>
    <w:rsid w:val="018F4F84"/>
    <w:rsid w:val="01B647F2"/>
    <w:rsid w:val="01D31DFC"/>
    <w:rsid w:val="01E445CE"/>
    <w:rsid w:val="01F45076"/>
    <w:rsid w:val="01F91A6E"/>
    <w:rsid w:val="020725C5"/>
    <w:rsid w:val="022910C8"/>
    <w:rsid w:val="02322BAC"/>
    <w:rsid w:val="02454D54"/>
    <w:rsid w:val="028415F1"/>
    <w:rsid w:val="028A1474"/>
    <w:rsid w:val="02AA2908"/>
    <w:rsid w:val="02B923FE"/>
    <w:rsid w:val="02BF7C9F"/>
    <w:rsid w:val="02F71809"/>
    <w:rsid w:val="030249B1"/>
    <w:rsid w:val="03171CD9"/>
    <w:rsid w:val="033504B4"/>
    <w:rsid w:val="03454BCD"/>
    <w:rsid w:val="03474F5C"/>
    <w:rsid w:val="034E6284"/>
    <w:rsid w:val="035D67C3"/>
    <w:rsid w:val="035E06B7"/>
    <w:rsid w:val="036A5173"/>
    <w:rsid w:val="038B5147"/>
    <w:rsid w:val="03C77F17"/>
    <w:rsid w:val="03D4770F"/>
    <w:rsid w:val="03DC4269"/>
    <w:rsid w:val="03DF1FA6"/>
    <w:rsid w:val="03E41547"/>
    <w:rsid w:val="03FE0FC9"/>
    <w:rsid w:val="04156CEC"/>
    <w:rsid w:val="0419195F"/>
    <w:rsid w:val="045F02DA"/>
    <w:rsid w:val="04695E5D"/>
    <w:rsid w:val="04A84807"/>
    <w:rsid w:val="04DF3086"/>
    <w:rsid w:val="04F860A3"/>
    <w:rsid w:val="051D2DF9"/>
    <w:rsid w:val="052F3D26"/>
    <w:rsid w:val="05356F5A"/>
    <w:rsid w:val="05366E15"/>
    <w:rsid w:val="05527DB0"/>
    <w:rsid w:val="05564AC3"/>
    <w:rsid w:val="05643544"/>
    <w:rsid w:val="056B6E84"/>
    <w:rsid w:val="056D08A4"/>
    <w:rsid w:val="057C755A"/>
    <w:rsid w:val="05CF0AB2"/>
    <w:rsid w:val="05D9283D"/>
    <w:rsid w:val="05DF3FF2"/>
    <w:rsid w:val="05E80F2C"/>
    <w:rsid w:val="05F46BEC"/>
    <w:rsid w:val="060D0289"/>
    <w:rsid w:val="062007A1"/>
    <w:rsid w:val="064A25AA"/>
    <w:rsid w:val="065F2B1E"/>
    <w:rsid w:val="066527AE"/>
    <w:rsid w:val="06673F9A"/>
    <w:rsid w:val="06753F19"/>
    <w:rsid w:val="069046C8"/>
    <w:rsid w:val="069C6C57"/>
    <w:rsid w:val="06AD7702"/>
    <w:rsid w:val="06BC54D2"/>
    <w:rsid w:val="06CC4263"/>
    <w:rsid w:val="06DA12D1"/>
    <w:rsid w:val="06FD084E"/>
    <w:rsid w:val="07005256"/>
    <w:rsid w:val="070833D4"/>
    <w:rsid w:val="07205FDA"/>
    <w:rsid w:val="072A32A5"/>
    <w:rsid w:val="07415076"/>
    <w:rsid w:val="07456585"/>
    <w:rsid w:val="07820722"/>
    <w:rsid w:val="07B85608"/>
    <w:rsid w:val="07C93C74"/>
    <w:rsid w:val="07E152BF"/>
    <w:rsid w:val="07EF6E68"/>
    <w:rsid w:val="07FC31A3"/>
    <w:rsid w:val="08192E31"/>
    <w:rsid w:val="085A51F1"/>
    <w:rsid w:val="0867416F"/>
    <w:rsid w:val="089C79E3"/>
    <w:rsid w:val="08D42713"/>
    <w:rsid w:val="08D65A4F"/>
    <w:rsid w:val="08D6701D"/>
    <w:rsid w:val="08F024D3"/>
    <w:rsid w:val="09064FBB"/>
    <w:rsid w:val="09190D62"/>
    <w:rsid w:val="09214029"/>
    <w:rsid w:val="09475E50"/>
    <w:rsid w:val="09653FBD"/>
    <w:rsid w:val="099076BA"/>
    <w:rsid w:val="09E74CB3"/>
    <w:rsid w:val="09EB370C"/>
    <w:rsid w:val="09F40745"/>
    <w:rsid w:val="0A000593"/>
    <w:rsid w:val="0A07468E"/>
    <w:rsid w:val="0A0F4CAB"/>
    <w:rsid w:val="0A333F43"/>
    <w:rsid w:val="0A5F02DC"/>
    <w:rsid w:val="0A722405"/>
    <w:rsid w:val="0A86242B"/>
    <w:rsid w:val="0AAB63D9"/>
    <w:rsid w:val="0AAE1D84"/>
    <w:rsid w:val="0AF3441A"/>
    <w:rsid w:val="0AFB43CE"/>
    <w:rsid w:val="0AFB77C3"/>
    <w:rsid w:val="0B0861C1"/>
    <w:rsid w:val="0B25555B"/>
    <w:rsid w:val="0B301DB6"/>
    <w:rsid w:val="0B5657C7"/>
    <w:rsid w:val="0B6837A0"/>
    <w:rsid w:val="0B7078E0"/>
    <w:rsid w:val="0B876A6B"/>
    <w:rsid w:val="0B8E095D"/>
    <w:rsid w:val="0BA01E8A"/>
    <w:rsid w:val="0BB80A71"/>
    <w:rsid w:val="0BDE5511"/>
    <w:rsid w:val="0BF13340"/>
    <w:rsid w:val="0C0710D3"/>
    <w:rsid w:val="0C0B1E69"/>
    <w:rsid w:val="0C363673"/>
    <w:rsid w:val="0C434CD5"/>
    <w:rsid w:val="0C7B17F2"/>
    <w:rsid w:val="0C985AFF"/>
    <w:rsid w:val="0CD1111F"/>
    <w:rsid w:val="0D334F58"/>
    <w:rsid w:val="0D3F525D"/>
    <w:rsid w:val="0D422E5F"/>
    <w:rsid w:val="0D423942"/>
    <w:rsid w:val="0D606BBE"/>
    <w:rsid w:val="0D711657"/>
    <w:rsid w:val="0D926941"/>
    <w:rsid w:val="0D95434C"/>
    <w:rsid w:val="0D990B70"/>
    <w:rsid w:val="0DCA798F"/>
    <w:rsid w:val="0DE03E72"/>
    <w:rsid w:val="0DE272C5"/>
    <w:rsid w:val="0E2D3048"/>
    <w:rsid w:val="0E9A7F8D"/>
    <w:rsid w:val="0EB04B72"/>
    <w:rsid w:val="0EB519B3"/>
    <w:rsid w:val="0ECB25C2"/>
    <w:rsid w:val="0EE27B1F"/>
    <w:rsid w:val="0EFE796C"/>
    <w:rsid w:val="0F0B37B0"/>
    <w:rsid w:val="0F145680"/>
    <w:rsid w:val="0F191BD9"/>
    <w:rsid w:val="0F3378BD"/>
    <w:rsid w:val="0F4935ED"/>
    <w:rsid w:val="0F4B6100"/>
    <w:rsid w:val="0F4F73DF"/>
    <w:rsid w:val="0F53595D"/>
    <w:rsid w:val="0F54360A"/>
    <w:rsid w:val="0F663014"/>
    <w:rsid w:val="0F8F00FD"/>
    <w:rsid w:val="0FA46529"/>
    <w:rsid w:val="0FA874C5"/>
    <w:rsid w:val="0FB57113"/>
    <w:rsid w:val="0FCF4613"/>
    <w:rsid w:val="0FD24972"/>
    <w:rsid w:val="0FD74C23"/>
    <w:rsid w:val="0FF15458"/>
    <w:rsid w:val="100F6ABC"/>
    <w:rsid w:val="10215008"/>
    <w:rsid w:val="103C513D"/>
    <w:rsid w:val="105570E6"/>
    <w:rsid w:val="106A4C1B"/>
    <w:rsid w:val="10BD03C9"/>
    <w:rsid w:val="10DC7FFA"/>
    <w:rsid w:val="10F36AD7"/>
    <w:rsid w:val="11121500"/>
    <w:rsid w:val="11601A42"/>
    <w:rsid w:val="11632FC0"/>
    <w:rsid w:val="11796835"/>
    <w:rsid w:val="11900D86"/>
    <w:rsid w:val="11B80A79"/>
    <w:rsid w:val="11BB0340"/>
    <w:rsid w:val="11CE2007"/>
    <w:rsid w:val="11F87AE1"/>
    <w:rsid w:val="1209541F"/>
    <w:rsid w:val="120E16A0"/>
    <w:rsid w:val="120F1630"/>
    <w:rsid w:val="12174ABE"/>
    <w:rsid w:val="122D37E7"/>
    <w:rsid w:val="12387084"/>
    <w:rsid w:val="128E27E7"/>
    <w:rsid w:val="128E4489"/>
    <w:rsid w:val="12EA7601"/>
    <w:rsid w:val="13137A0F"/>
    <w:rsid w:val="13183C1B"/>
    <w:rsid w:val="132655A2"/>
    <w:rsid w:val="13395257"/>
    <w:rsid w:val="13697CF4"/>
    <w:rsid w:val="136B1A6E"/>
    <w:rsid w:val="137A6109"/>
    <w:rsid w:val="137F0BC4"/>
    <w:rsid w:val="13A21F73"/>
    <w:rsid w:val="13A56489"/>
    <w:rsid w:val="13C06F2A"/>
    <w:rsid w:val="13C07441"/>
    <w:rsid w:val="13CA163F"/>
    <w:rsid w:val="13D56ED2"/>
    <w:rsid w:val="13FC4692"/>
    <w:rsid w:val="14052B78"/>
    <w:rsid w:val="14250830"/>
    <w:rsid w:val="1428448E"/>
    <w:rsid w:val="143844C0"/>
    <w:rsid w:val="14467C46"/>
    <w:rsid w:val="144B029C"/>
    <w:rsid w:val="144D1F23"/>
    <w:rsid w:val="14563F8D"/>
    <w:rsid w:val="1457016A"/>
    <w:rsid w:val="148A7116"/>
    <w:rsid w:val="14A24D4E"/>
    <w:rsid w:val="14E900B3"/>
    <w:rsid w:val="15422AD5"/>
    <w:rsid w:val="154714A6"/>
    <w:rsid w:val="154D1CF6"/>
    <w:rsid w:val="1550529F"/>
    <w:rsid w:val="156C183F"/>
    <w:rsid w:val="156F5FA5"/>
    <w:rsid w:val="158C17BA"/>
    <w:rsid w:val="15B2147A"/>
    <w:rsid w:val="16210F76"/>
    <w:rsid w:val="16223E19"/>
    <w:rsid w:val="163C32C6"/>
    <w:rsid w:val="16422AD0"/>
    <w:rsid w:val="168D09DF"/>
    <w:rsid w:val="168E40CE"/>
    <w:rsid w:val="16AC08C8"/>
    <w:rsid w:val="16B26FA2"/>
    <w:rsid w:val="16BC2679"/>
    <w:rsid w:val="16EA7F32"/>
    <w:rsid w:val="170424C3"/>
    <w:rsid w:val="17290637"/>
    <w:rsid w:val="175C7038"/>
    <w:rsid w:val="175E3A13"/>
    <w:rsid w:val="176333F5"/>
    <w:rsid w:val="179D10D9"/>
    <w:rsid w:val="17B9248A"/>
    <w:rsid w:val="17BA679D"/>
    <w:rsid w:val="17CC3EA2"/>
    <w:rsid w:val="17D6697A"/>
    <w:rsid w:val="17E23611"/>
    <w:rsid w:val="17EB5DED"/>
    <w:rsid w:val="17EE7F80"/>
    <w:rsid w:val="180A142C"/>
    <w:rsid w:val="180B05B9"/>
    <w:rsid w:val="181A09B7"/>
    <w:rsid w:val="1820512D"/>
    <w:rsid w:val="182126BC"/>
    <w:rsid w:val="183C400E"/>
    <w:rsid w:val="187C5E74"/>
    <w:rsid w:val="187F6732"/>
    <w:rsid w:val="18994CD9"/>
    <w:rsid w:val="18AA1A7E"/>
    <w:rsid w:val="18AE1396"/>
    <w:rsid w:val="18B25EF2"/>
    <w:rsid w:val="18D86A72"/>
    <w:rsid w:val="190C1090"/>
    <w:rsid w:val="190E4A70"/>
    <w:rsid w:val="191303BB"/>
    <w:rsid w:val="192551F9"/>
    <w:rsid w:val="19361D4C"/>
    <w:rsid w:val="19362CD2"/>
    <w:rsid w:val="193E6072"/>
    <w:rsid w:val="19487998"/>
    <w:rsid w:val="194B33AC"/>
    <w:rsid w:val="19686977"/>
    <w:rsid w:val="199B5CBF"/>
    <w:rsid w:val="19A81389"/>
    <w:rsid w:val="19F224DC"/>
    <w:rsid w:val="19F72E16"/>
    <w:rsid w:val="1A1C31EA"/>
    <w:rsid w:val="1A2657AB"/>
    <w:rsid w:val="1A79620A"/>
    <w:rsid w:val="1A934D0C"/>
    <w:rsid w:val="1A9E2575"/>
    <w:rsid w:val="1AB4701E"/>
    <w:rsid w:val="1AB86F56"/>
    <w:rsid w:val="1ACB622F"/>
    <w:rsid w:val="1AD54BCF"/>
    <w:rsid w:val="1AD84BD1"/>
    <w:rsid w:val="1B035160"/>
    <w:rsid w:val="1B2A119F"/>
    <w:rsid w:val="1B3B19FF"/>
    <w:rsid w:val="1B432250"/>
    <w:rsid w:val="1B59065F"/>
    <w:rsid w:val="1B787772"/>
    <w:rsid w:val="1B856E8E"/>
    <w:rsid w:val="1B9265DE"/>
    <w:rsid w:val="1B9853E0"/>
    <w:rsid w:val="1BA33DCF"/>
    <w:rsid w:val="1BCA4C67"/>
    <w:rsid w:val="1BD6094D"/>
    <w:rsid w:val="1BFE2694"/>
    <w:rsid w:val="1C1074FA"/>
    <w:rsid w:val="1C1E6084"/>
    <w:rsid w:val="1C460FFD"/>
    <w:rsid w:val="1C6E5335"/>
    <w:rsid w:val="1C75793A"/>
    <w:rsid w:val="1C897457"/>
    <w:rsid w:val="1CCC1732"/>
    <w:rsid w:val="1CD35F37"/>
    <w:rsid w:val="1CE842A8"/>
    <w:rsid w:val="1D053FB6"/>
    <w:rsid w:val="1D0A105B"/>
    <w:rsid w:val="1D0E382A"/>
    <w:rsid w:val="1D207C32"/>
    <w:rsid w:val="1D2E247E"/>
    <w:rsid w:val="1D3C777B"/>
    <w:rsid w:val="1D473245"/>
    <w:rsid w:val="1D5C0FD3"/>
    <w:rsid w:val="1D5F6D7A"/>
    <w:rsid w:val="1D8A1588"/>
    <w:rsid w:val="1D9317D6"/>
    <w:rsid w:val="1DAA4E3F"/>
    <w:rsid w:val="1DB251EB"/>
    <w:rsid w:val="1DDC5166"/>
    <w:rsid w:val="1DF53D0E"/>
    <w:rsid w:val="1E3E58A8"/>
    <w:rsid w:val="1E43267C"/>
    <w:rsid w:val="1E475196"/>
    <w:rsid w:val="1E49276A"/>
    <w:rsid w:val="1E543AA9"/>
    <w:rsid w:val="1E855CB4"/>
    <w:rsid w:val="1E99125A"/>
    <w:rsid w:val="1EA071D0"/>
    <w:rsid w:val="1EB905D0"/>
    <w:rsid w:val="1EF5107E"/>
    <w:rsid w:val="1F263E7B"/>
    <w:rsid w:val="1F956CA6"/>
    <w:rsid w:val="1FAF5128"/>
    <w:rsid w:val="1FC96552"/>
    <w:rsid w:val="1FEF4F51"/>
    <w:rsid w:val="20185BC1"/>
    <w:rsid w:val="20193E72"/>
    <w:rsid w:val="205F55A5"/>
    <w:rsid w:val="206741A5"/>
    <w:rsid w:val="20675420"/>
    <w:rsid w:val="20A0374D"/>
    <w:rsid w:val="20BB101A"/>
    <w:rsid w:val="20C64DCF"/>
    <w:rsid w:val="20F55AAF"/>
    <w:rsid w:val="21346676"/>
    <w:rsid w:val="21353AC5"/>
    <w:rsid w:val="21645A5D"/>
    <w:rsid w:val="218A28C1"/>
    <w:rsid w:val="21A11346"/>
    <w:rsid w:val="21BE7BEB"/>
    <w:rsid w:val="21D46587"/>
    <w:rsid w:val="22012FC2"/>
    <w:rsid w:val="220549C5"/>
    <w:rsid w:val="22333F7B"/>
    <w:rsid w:val="223B0848"/>
    <w:rsid w:val="224D69B2"/>
    <w:rsid w:val="224F6E32"/>
    <w:rsid w:val="226773FB"/>
    <w:rsid w:val="228968CF"/>
    <w:rsid w:val="22952705"/>
    <w:rsid w:val="229B6D4A"/>
    <w:rsid w:val="229C07DB"/>
    <w:rsid w:val="22A908A4"/>
    <w:rsid w:val="22CB1E23"/>
    <w:rsid w:val="22D4592F"/>
    <w:rsid w:val="22D63C66"/>
    <w:rsid w:val="22FA7BB1"/>
    <w:rsid w:val="23030E28"/>
    <w:rsid w:val="232F6D1F"/>
    <w:rsid w:val="234462A8"/>
    <w:rsid w:val="23476D89"/>
    <w:rsid w:val="234F1E39"/>
    <w:rsid w:val="23507F43"/>
    <w:rsid w:val="235B2B6D"/>
    <w:rsid w:val="236F16A6"/>
    <w:rsid w:val="238A654B"/>
    <w:rsid w:val="239141EA"/>
    <w:rsid w:val="23931FA1"/>
    <w:rsid w:val="23A45436"/>
    <w:rsid w:val="23A572A1"/>
    <w:rsid w:val="23B14283"/>
    <w:rsid w:val="23CA1602"/>
    <w:rsid w:val="23CA222A"/>
    <w:rsid w:val="23FB327F"/>
    <w:rsid w:val="2404336C"/>
    <w:rsid w:val="241445CA"/>
    <w:rsid w:val="24340842"/>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805F91"/>
    <w:rsid w:val="258175E8"/>
    <w:rsid w:val="25902E7D"/>
    <w:rsid w:val="25CC417C"/>
    <w:rsid w:val="25CD61D9"/>
    <w:rsid w:val="25D104EA"/>
    <w:rsid w:val="25D921A9"/>
    <w:rsid w:val="25E57453"/>
    <w:rsid w:val="25E70D77"/>
    <w:rsid w:val="25ED79C2"/>
    <w:rsid w:val="25F16D57"/>
    <w:rsid w:val="261A7652"/>
    <w:rsid w:val="26285B3A"/>
    <w:rsid w:val="26351ED3"/>
    <w:rsid w:val="26473203"/>
    <w:rsid w:val="26561B11"/>
    <w:rsid w:val="267F3653"/>
    <w:rsid w:val="268C6311"/>
    <w:rsid w:val="26AC70C6"/>
    <w:rsid w:val="26B66114"/>
    <w:rsid w:val="26F7634C"/>
    <w:rsid w:val="2709221E"/>
    <w:rsid w:val="271E0AB4"/>
    <w:rsid w:val="27576E27"/>
    <w:rsid w:val="275B6784"/>
    <w:rsid w:val="27694BF3"/>
    <w:rsid w:val="27787CF2"/>
    <w:rsid w:val="27832301"/>
    <w:rsid w:val="2785375A"/>
    <w:rsid w:val="2787425A"/>
    <w:rsid w:val="279141D9"/>
    <w:rsid w:val="27A32287"/>
    <w:rsid w:val="27D52F4D"/>
    <w:rsid w:val="280D3A60"/>
    <w:rsid w:val="284F1F1D"/>
    <w:rsid w:val="285E5457"/>
    <w:rsid w:val="286B1201"/>
    <w:rsid w:val="286B4045"/>
    <w:rsid w:val="28C14462"/>
    <w:rsid w:val="28F509FE"/>
    <w:rsid w:val="290A6E57"/>
    <w:rsid w:val="29130F00"/>
    <w:rsid w:val="291A14E9"/>
    <w:rsid w:val="294603EC"/>
    <w:rsid w:val="294A4DD2"/>
    <w:rsid w:val="294C44CD"/>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E03960"/>
    <w:rsid w:val="2AEC0DE9"/>
    <w:rsid w:val="2AFD6112"/>
    <w:rsid w:val="2B001928"/>
    <w:rsid w:val="2B077564"/>
    <w:rsid w:val="2B1D20C8"/>
    <w:rsid w:val="2B3157C2"/>
    <w:rsid w:val="2B52676B"/>
    <w:rsid w:val="2B837BCA"/>
    <w:rsid w:val="2BBF4122"/>
    <w:rsid w:val="2BD039E2"/>
    <w:rsid w:val="2BFF6DCA"/>
    <w:rsid w:val="2C1132FB"/>
    <w:rsid w:val="2C1B43B5"/>
    <w:rsid w:val="2C20315F"/>
    <w:rsid w:val="2C237856"/>
    <w:rsid w:val="2C352609"/>
    <w:rsid w:val="2C56080A"/>
    <w:rsid w:val="2C645393"/>
    <w:rsid w:val="2C7439F7"/>
    <w:rsid w:val="2C9420F7"/>
    <w:rsid w:val="2C9B3BC9"/>
    <w:rsid w:val="2CF4608A"/>
    <w:rsid w:val="2D1E069A"/>
    <w:rsid w:val="2D253C18"/>
    <w:rsid w:val="2D31546A"/>
    <w:rsid w:val="2D4F7CC4"/>
    <w:rsid w:val="2D5E717D"/>
    <w:rsid w:val="2D765CB0"/>
    <w:rsid w:val="2DA74888"/>
    <w:rsid w:val="2DB8657A"/>
    <w:rsid w:val="2DCC4ACD"/>
    <w:rsid w:val="2DD512B8"/>
    <w:rsid w:val="2E2864AF"/>
    <w:rsid w:val="2E531C15"/>
    <w:rsid w:val="2E5C65BC"/>
    <w:rsid w:val="2E83337A"/>
    <w:rsid w:val="2EC42041"/>
    <w:rsid w:val="2EC75C56"/>
    <w:rsid w:val="2ED42908"/>
    <w:rsid w:val="2ED454F8"/>
    <w:rsid w:val="2EFF5ACB"/>
    <w:rsid w:val="2F177156"/>
    <w:rsid w:val="2F352CAA"/>
    <w:rsid w:val="2F3B5D84"/>
    <w:rsid w:val="2F4A58F3"/>
    <w:rsid w:val="2F7E5E88"/>
    <w:rsid w:val="2F8D3D9C"/>
    <w:rsid w:val="2F8D7241"/>
    <w:rsid w:val="2FA076A9"/>
    <w:rsid w:val="2FA47C46"/>
    <w:rsid w:val="301A0002"/>
    <w:rsid w:val="30320746"/>
    <w:rsid w:val="3069714F"/>
    <w:rsid w:val="307D0C8A"/>
    <w:rsid w:val="307D78E9"/>
    <w:rsid w:val="30881421"/>
    <w:rsid w:val="308B2D36"/>
    <w:rsid w:val="30A036ED"/>
    <w:rsid w:val="30A642EC"/>
    <w:rsid w:val="30AA26C6"/>
    <w:rsid w:val="30AE4D85"/>
    <w:rsid w:val="31134756"/>
    <w:rsid w:val="311A4F41"/>
    <w:rsid w:val="312967F0"/>
    <w:rsid w:val="31376F08"/>
    <w:rsid w:val="313976E9"/>
    <w:rsid w:val="314503CA"/>
    <w:rsid w:val="31826E30"/>
    <w:rsid w:val="318E5C1C"/>
    <w:rsid w:val="31D22B9D"/>
    <w:rsid w:val="31F15525"/>
    <w:rsid w:val="32192AF6"/>
    <w:rsid w:val="323C5E04"/>
    <w:rsid w:val="328B2CEB"/>
    <w:rsid w:val="32996B4D"/>
    <w:rsid w:val="32A904A7"/>
    <w:rsid w:val="32C378D8"/>
    <w:rsid w:val="32C866CC"/>
    <w:rsid w:val="32D61860"/>
    <w:rsid w:val="32E01C49"/>
    <w:rsid w:val="32E572EC"/>
    <w:rsid w:val="32EA11F1"/>
    <w:rsid w:val="33072A8F"/>
    <w:rsid w:val="330F45BC"/>
    <w:rsid w:val="33195E37"/>
    <w:rsid w:val="336055F3"/>
    <w:rsid w:val="3380047C"/>
    <w:rsid w:val="339A0A0F"/>
    <w:rsid w:val="33B200A9"/>
    <w:rsid w:val="33C51A72"/>
    <w:rsid w:val="33DD2D1F"/>
    <w:rsid w:val="34262707"/>
    <w:rsid w:val="34587F04"/>
    <w:rsid w:val="34844189"/>
    <w:rsid w:val="34857FA3"/>
    <w:rsid w:val="348F254C"/>
    <w:rsid w:val="34A51F47"/>
    <w:rsid w:val="34B4733C"/>
    <w:rsid w:val="34C82375"/>
    <w:rsid w:val="34DC268F"/>
    <w:rsid w:val="34E66EA0"/>
    <w:rsid w:val="34FA2176"/>
    <w:rsid w:val="350E3A8A"/>
    <w:rsid w:val="35184FD1"/>
    <w:rsid w:val="351E2138"/>
    <w:rsid w:val="352E4F36"/>
    <w:rsid w:val="35436BC4"/>
    <w:rsid w:val="35445297"/>
    <w:rsid w:val="358135A9"/>
    <w:rsid w:val="35965281"/>
    <w:rsid w:val="35A61154"/>
    <w:rsid w:val="35D438A7"/>
    <w:rsid w:val="35E907E7"/>
    <w:rsid w:val="3604521C"/>
    <w:rsid w:val="3612142C"/>
    <w:rsid w:val="36121FD6"/>
    <w:rsid w:val="362B48EF"/>
    <w:rsid w:val="36336B35"/>
    <w:rsid w:val="363C0D18"/>
    <w:rsid w:val="36403694"/>
    <w:rsid w:val="3650042A"/>
    <w:rsid w:val="366652B8"/>
    <w:rsid w:val="366B1F45"/>
    <w:rsid w:val="368C5E8E"/>
    <w:rsid w:val="36CA4671"/>
    <w:rsid w:val="37085788"/>
    <w:rsid w:val="37230AD2"/>
    <w:rsid w:val="373423BB"/>
    <w:rsid w:val="373B59A5"/>
    <w:rsid w:val="373D4C6F"/>
    <w:rsid w:val="37525D06"/>
    <w:rsid w:val="376D0FF4"/>
    <w:rsid w:val="377A26DB"/>
    <w:rsid w:val="379A4EF3"/>
    <w:rsid w:val="37D067A7"/>
    <w:rsid w:val="37F024D9"/>
    <w:rsid w:val="38214D04"/>
    <w:rsid w:val="38A01478"/>
    <w:rsid w:val="38A7058F"/>
    <w:rsid w:val="38B33064"/>
    <w:rsid w:val="38B669F2"/>
    <w:rsid w:val="38E4205E"/>
    <w:rsid w:val="38FB71CD"/>
    <w:rsid w:val="38FC4F55"/>
    <w:rsid w:val="390E0262"/>
    <w:rsid w:val="39187722"/>
    <w:rsid w:val="391B1354"/>
    <w:rsid w:val="391B66A7"/>
    <w:rsid w:val="392D266D"/>
    <w:rsid w:val="394B58E3"/>
    <w:rsid w:val="397C2BB5"/>
    <w:rsid w:val="398B5316"/>
    <w:rsid w:val="399537F8"/>
    <w:rsid w:val="39C5102A"/>
    <w:rsid w:val="39D0456C"/>
    <w:rsid w:val="39D049A7"/>
    <w:rsid w:val="39D9079F"/>
    <w:rsid w:val="39FD0AAE"/>
    <w:rsid w:val="3A0458D2"/>
    <w:rsid w:val="3A3D6AFC"/>
    <w:rsid w:val="3A413A43"/>
    <w:rsid w:val="3A413D14"/>
    <w:rsid w:val="3A551B23"/>
    <w:rsid w:val="3A713201"/>
    <w:rsid w:val="3A8C19CF"/>
    <w:rsid w:val="3AC13B86"/>
    <w:rsid w:val="3ADC62D4"/>
    <w:rsid w:val="3AEB188C"/>
    <w:rsid w:val="3AEF10C5"/>
    <w:rsid w:val="3B493CBA"/>
    <w:rsid w:val="3B5D1C49"/>
    <w:rsid w:val="3BA87207"/>
    <w:rsid w:val="3BAD44EF"/>
    <w:rsid w:val="3BB11E6C"/>
    <w:rsid w:val="3BB5781A"/>
    <w:rsid w:val="3BE23BF8"/>
    <w:rsid w:val="3BE42F26"/>
    <w:rsid w:val="3BEC47B2"/>
    <w:rsid w:val="3BFF2018"/>
    <w:rsid w:val="3C037258"/>
    <w:rsid w:val="3C304B60"/>
    <w:rsid w:val="3C3E77F6"/>
    <w:rsid w:val="3C40357F"/>
    <w:rsid w:val="3C4F423C"/>
    <w:rsid w:val="3C5B0BA9"/>
    <w:rsid w:val="3C670D1B"/>
    <w:rsid w:val="3C947DEF"/>
    <w:rsid w:val="3CAF6FC8"/>
    <w:rsid w:val="3CBA7494"/>
    <w:rsid w:val="3CC23247"/>
    <w:rsid w:val="3CCC2A34"/>
    <w:rsid w:val="3CD030E4"/>
    <w:rsid w:val="3CEC203D"/>
    <w:rsid w:val="3D061C54"/>
    <w:rsid w:val="3D09593B"/>
    <w:rsid w:val="3D200D42"/>
    <w:rsid w:val="3D240211"/>
    <w:rsid w:val="3D514F00"/>
    <w:rsid w:val="3D81492F"/>
    <w:rsid w:val="3D8352D5"/>
    <w:rsid w:val="3D8A3296"/>
    <w:rsid w:val="3D8C492D"/>
    <w:rsid w:val="3DB43BA3"/>
    <w:rsid w:val="3DB473AE"/>
    <w:rsid w:val="3DD97293"/>
    <w:rsid w:val="3DDB59C3"/>
    <w:rsid w:val="3DFE0BB1"/>
    <w:rsid w:val="3E0A25D2"/>
    <w:rsid w:val="3E0F009D"/>
    <w:rsid w:val="3E196DF2"/>
    <w:rsid w:val="3E38364E"/>
    <w:rsid w:val="3E6C3837"/>
    <w:rsid w:val="3E746D63"/>
    <w:rsid w:val="3E850AB9"/>
    <w:rsid w:val="3E94148E"/>
    <w:rsid w:val="3EE01280"/>
    <w:rsid w:val="3EF15120"/>
    <w:rsid w:val="3EF51F26"/>
    <w:rsid w:val="3F0A5C35"/>
    <w:rsid w:val="3F23208A"/>
    <w:rsid w:val="3F37197A"/>
    <w:rsid w:val="3F463820"/>
    <w:rsid w:val="3F4C5619"/>
    <w:rsid w:val="3F7F5307"/>
    <w:rsid w:val="3FA36BF9"/>
    <w:rsid w:val="3FC13367"/>
    <w:rsid w:val="40024BC2"/>
    <w:rsid w:val="40122082"/>
    <w:rsid w:val="40240F89"/>
    <w:rsid w:val="40A46B8A"/>
    <w:rsid w:val="40B2295D"/>
    <w:rsid w:val="40B32392"/>
    <w:rsid w:val="40B50E50"/>
    <w:rsid w:val="40E251F4"/>
    <w:rsid w:val="40E535A3"/>
    <w:rsid w:val="40E73ACD"/>
    <w:rsid w:val="41062798"/>
    <w:rsid w:val="412409DB"/>
    <w:rsid w:val="41397D08"/>
    <w:rsid w:val="41520C49"/>
    <w:rsid w:val="41773121"/>
    <w:rsid w:val="417D3DE6"/>
    <w:rsid w:val="41940DDD"/>
    <w:rsid w:val="41A6431C"/>
    <w:rsid w:val="41F35BAC"/>
    <w:rsid w:val="42217B67"/>
    <w:rsid w:val="42310CA7"/>
    <w:rsid w:val="42DD6873"/>
    <w:rsid w:val="430B638F"/>
    <w:rsid w:val="431C5C2D"/>
    <w:rsid w:val="436D047F"/>
    <w:rsid w:val="438748EF"/>
    <w:rsid w:val="43AA6464"/>
    <w:rsid w:val="43FD03FF"/>
    <w:rsid w:val="440006B5"/>
    <w:rsid w:val="440D6D4B"/>
    <w:rsid w:val="44217C83"/>
    <w:rsid w:val="44660EB5"/>
    <w:rsid w:val="446923F7"/>
    <w:rsid w:val="44875711"/>
    <w:rsid w:val="449340C4"/>
    <w:rsid w:val="44C86AAC"/>
    <w:rsid w:val="44CA242F"/>
    <w:rsid w:val="44CA32F7"/>
    <w:rsid w:val="44DF56E6"/>
    <w:rsid w:val="44F25A59"/>
    <w:rsid w:val="45B90B48"/>
    <w:rsid w:val="46163033"/>
    <w:rsid w:val="46670515"/>
    <w:rsid w:val="467B0332"/>
    <w:rsid w:val="46BB071B"/>
    <w:rsid w:val="46BF208F"/>
    <w:rsid w:val="46C27154"/>
    <w:rsid w:val="46CB1D8A"/>
    <w:rsid w:val="46E44FE1"/>
    <w:rsid w:val="4713701D"/>
    <w:rsid w:val="472C328E"/>
    <w:rsid w:val="47392A3A"/>
    <w:rsid w:val="476A6681"/>
    <w:rsid w:val="476B776A"/>
    <w:rsid w:val="47731BFC"/>
    <w:rsid w:val="47891385"/>
    <w:rsid w:val="47892946"/>
    <w:rsid w:val="479557D8"/>
    <w:rsid w:val="479A4EA3"/>
    <w:rsid w:val="47C80031"/>
    <w:rsid w:val="47CB053E"/>
    <w:rsid w:val="47CF5DDA"/>
    <w:rsid w:val="47D4105D"/>
    <w:rsid w:val="47E201CE"/>
    <w:rsid w:val="47E70E32"/>
    <w:rsid w:val="47FD0FFA"/>
    <w:rsid w:val="48031317"/>
    <w:rsid w:val="48060B3C"/>
    <w:rsid w:val="481406F4"/>
    <w:rsid w:val="48220B2A"/>
    <w:rsid w:val="489D5D47"/>
    <w:rsid w:val="48A8162E"/>
    <w:rsid w:val="48AB5C1B"/>
    <w:rsid w:val="48D25FD9"/>
    <w:rsid w:val="48DF7812"/>
    <w:rsid w:val="48E87EBD"/>
    <w:rsid w:val="48FC2AE5"/>
    <w:rsid w:val="49166A23"/>
    <w:rsid w:val="493468D6"/>
    <w:rsid w:val="498522D4"/>
    <w:rsid w:val="49987A28"/>
    <w:rsid w:val="499D7C4A"/>
    <w:rsid w:val="499F25DB"/>
    <w:rsid w:val="49B5291D"/>
    <w:rsid w:val="49BE7B1F"/>
    <w:rsid w:val="49D4733D"/>
    <w:rsid w:val="49D6306E"/>
    <w:rsid w:val="4A0155A6"/>
    <w:rsid w:val="4A2A5B99"/>
    <w:rsid w:val="4A470778"/>
    <w:rsid w:val="4A684286"/>
    <w:rsid w:val="4AA53C08"/>
    <w:rsid w:val="4AB05B58"/>
    <w:rsid w:val="4AB90546"/>
    <w:rsid w:val="4AE00DC9"/>
    <w:rsid w:val="4AFF6A5E"/>
    <w:rsid w:val="4B411E26"/>
    <w:rsid w:val="4B744C54"/>
    <w:rsid w:val="4B9B6D58"/>
    <w:rsid w:val="4BAB046D"/>
    <w:rsid w:val="4BEB39D1"/>
    <w:rsid w:val="4BEE30E7"/>
    <w:rsid w:val="4BF7491D"/>
    <w:rsid w:val="4BFC0915"/>
    <w:rsid w:val="4C486C01"/>
    <w:rsid w:val="4C5152B7"/>
    <w:rsid w:val="4C54029E"/>
    <w:rsid w:val="4C5D21E2"/>
    <w:rsid w:val="4C63338E"/>
    <w:rsid w:val="4C7A20E3"/>
    <w:rsid w:val="4CA854F0"/>
    <w:rsid w:val="4CEF445F"/>
    <w:rsid w:val="4D5F358E"/>
    <w:rsid w:val="4D946590"/>
    <w:rsid w:val="4DA76A46"/>
    <w:rsid w:val="4DE156B3"/>
    <w:rsid w:val="4DEB794F"/>
    <w:rsid w:val="4E082439"/>
    <w:rsid w:val="4E15741C"/>
    <w:rsid w:val="4E2E2B91"/>
    <w:rsid w:val="4E5307CA"/>
    <w:rsid w:val="4E904B1F"/>
    <w:rsid w:val="4E954DDF"/>
    <w:rsid w:val="4EC50AEF"/>
    <w:rsid w:val="4ED077DC"/>
    <w:rsid w:val="4EFA1AB4"/>
    <w:rsid w:val="4EFD0D0F"/>
    <w:rsid w:val="4F18636C"/>
    <w:rsid w:val="4F1A2B37"/>
    <w:rsid w:val="4F2938BB"/>
    <w:rsid w:val="4F397766"/>
    <w:rsid w:val="4F6335B2"/>
    <w:rsid w:val="4F653860"/>
    <w:rsid w:val="4F6D1D66"/>
    <w:rsid w:val="4F6D3271"/>
    <w:rsid w:val="4F8D2275"/>
    <w:rsid w:val="4F9544C7"/>
    <w:rsid w:val="4FC03CA9"/>
    <w:rsid w:val="4FC07444"/>
    <w:rsid w:val="4FE22ADA"/>
    <w:rsid w:val="50086DAB"/>
    <w:rsid w:val="502340BF"/>
    <w:rsid w:val="50251F0B"/>
    <w:rsid w:val="50340C2A"/>
    <w:rsid w:val="503A2293"/>
    <w:rsid w:val="5045131F"/>
    <w:rsid w:val="506176D1"/>
    <w:rsid w:val="506A4F48"/>
    <w:rsid w:val="5076586D"/>
    <w:rsid w:val="50911E77"/>
    <w:rsid w:val="50BB7718"/>
    <w:rsid w:val="50BF50EC"/>
    <w:rsid w:val="51085897"/>
    <w:rsid w:val="510E2713"/>
    <w:rsid w:val="510F51F2"/>
    <w:rsid w:val="512B01F7"/>
    <w:rsid w:val="512B4ABD"/>
    <w:rsid w:val="51AD14BB"/>
    <w:rsid w:val="520A4E4A"/>
    <w:rsid w:val="52186CA6"/>
    <w:rsid w:val="52254EEE"/>
    <w:rsid w:val="522F21C5"/>
    <w:rsid w:val="524C5E63"/>
    <w:rsid w:val="52886D84"/>
    <w:rsid w:val="52CE1D80"/>
    <w:rsid w:val="53055654"/>
    <w:rsid w:val="531279BB"/>
    <w:rsid w:val="53141176"/>
    <w:rsid w:val="531B18A9"/>
    <w:rsid w:val="532A0507"/>
    <w:rsid w:val="53302BD5"/>
    <w:rsid w:val="534E3A78"/>
    <w:rsid w:val="535406C1"/>
    <w:rsid w:val="535856D4"/>
    <w:rsid w:val="537F1C03"/>
    <w:rsid w:val="5382068F"/>
    <w:rsid w:val="53A1577B"/>
    <w:rsid w:val="53BB2078"/>
    <w:rsid w:val="5424378E"/>
    <w:rsid w:val="54284D6A"/>
    <w:rsid w:val="543B276A"/>
    <w:rsid w:val="543E7141"/>
    <w:rsid w:val="54434AAB"/>
    <w:rsid w:val="545055CB"/>
    <w:rsid w:val="545D27A6"/>
    <w:rsid w:val="54A1344D"/>
    <w:rsid w:val="54A22F54"/>
    <w:rsid w:val="54A94054"/>
    <w:rsid w:val="54B80F91"/>
    <w:rsid w:val="54D421E2"/>
    <w:rsid w:val="54E173FC"/>
    <w:rsid w:val="55193CA7"/>
    <w:rsid w:val="55266090"/>
    <w:rsid w:val="55984B3D"/>
    <w:rsid w:val="559F7531"/>
    <w:rsid w:val="55B6024F"/>
    <w:rsid w:val="55C411EC"/>
    <w:rsid w:val="55E156E1"/>
    <w:rsid w:val="56771CE8"/>
    <w:rsid w:val="567F51C0"/>
    <w:rsid w:val="56B555F4"/>
    <w:rsid w:val="56C754A5"/>
    <w:rsid w:val="56D73628"/>
    <w:rsid w:val="56DD2B16"/>
    <w:rsid w:val="57042BC6"/>
    <w:rsid w:val="57056DF3"/>
    <w:rsid w:val="57267A41"/>
    <w:rsid w:val="57375785"/>
    <w:rsid w:val="573A1530"/>
    <w:rsid w:val="573E57FA"/>
    <w:rsid w:val="57414B80"/>
    <w:rsid w:val="575C4B43"/>
    <w:rsid w:val="57BB0E19"/>
    <w:rsid w:val="57CB0C9A"/>
    <w:rsid w:val="57D43A5A"/>
    <w:rsid w:val="57DB42F1"/>
    <w:rsid w:val="57DC7D3A"/>
    <w:rsid w:val="58132EF7"/>
    <w:rsid w:val="58330D1C"/>
    <w:rsid w:val="58562280"/>
    <w:rsid w:val="585D4CFB"/>
    <w:rsid w:val="58924D7D"/>
    <w:rsid w:val="589F1878"/>
    <w:rsid w:val="58D009A0"/>
    <w:rsid w:val="58E51E0F"/>
    <w:rsid w:val="590F3EDF"/>
    <w:rsid w:val="59104DB1"/>
    <w:rsid w:val="593E6411"/>
    <w:rsid w:val="595B535C"/>
    <w:rsid w:val="596C3ECC"/>
    <w:rsid w:val="59C10FE9"/>
    <w:rsid w:val="59E979D6"/>
    <w:rsid w:val="59ED4265"/>
    <w:rsid w:val="5A3D2AE2"/>
    <w:rsid w:val="5A4415C6"/>
    <w:rsid w:val="5A663112"/>
    <w:rsid w:val="5A7D2208"/>
    <w:rsid w:val="5A835E2D"/>
    <w:rsid w:val="5A8C31BC"/>
    <w:rsid w:val="5A8D15DB"/>
    <w:rsid w:val="5A9B16DE"/>
    <w:rsid w:val="5ABE2392"/>
    <w:rsid w:val="5AD17240"/>
    <w:rsid w:val="5AF976F5"/>
    <w:rsid w:val="5AFC560F"/>
    <w:rsid w:val="5B02049E"/>
    <w:rsid w:val="5B1D2960"/>
    <w:rsid w:val="5B22365C"/>
    <w:rsid w:val="5B4E3425"/>
    <w:rsid w:val="5B505906"/>
    <w:rsid w:val="5B544BCA"/>
    <w:rsid w:val="5B5910C3"/>
    <w:rsid w:val="5B71372D"/>
    <w:rsid w:val="5B792FA1"/>
    <w:rsid w:val="5B832ECB"/>
    <w:rsid w:val="5BA932FD"/>
    <w:rsid w:val="5BAA5E4F"/>
    <w:rsid w:val="5BF22FC6"/>
    <w:rsid w:val="5BF41B96"/>
    <w:rsid w:val="5BFC16C8"/>
    <w:rsid w:val="5C356427"/>
    <w:rsid w:val="5C543947"/>
    <w:rsid w:val="5C5F100A"/>
    <w:rsid w:val="5C601368"/>
    <w:rsid w:val="5C680697"/>
    <w:rsid w:val="5C8E744B"/>
    <w:rsid w:val="5CBE59D3"/>
    <w:rsid w:val="5CCF7D3D"/>
    <w:rsid w:val="5CD63885"/>
    <w:rsid w:val="5CF34A1E"/>
    <w:rsid w:val="5D146A78"/>
    <w:rsid w:val="5D154455"/>
    <w:rsid w:val="5D2523C5"/>
    <w:rsid w:val="5D5B4927"/>
    <w:rsid w:val="5D6B238B"/>
    <w:rsid w:val="5D75271C"/>
    <w:rsid w:val="5D7F1C7A"/>
    <w:rsid w:val="5DA64E8E"/>
    <w:rsid w:val="5DB43A93"/>
    <w:rsid w:val="5DCD5EA7"/>
    <w:rsid w:val="5DFA0096"/>
    <w:rsid w:val="5E104EA2"/>
    <w:rsid w:val="5E413BB9"/>
    <w:rsid w:val="5E4563B6"/>
    <w:rsid w:val="5E772B01"/>
    <w:rsid w:val="5E835022"/>
    <w:rsid w:val="5EC7063D"/>
    <w:rsid w:val="5ED77A80"/>
    <w:rsid w:val="5ED871CC"/>
    <w:rsid w:val="5EDD0B0F"/>
    <w:rsid w:val="5EDE754C"/>
    <w:rsid w:val="5EE5693B"/>
    <w:rsid w:val="5EE9278E"/>
    <w:rsid w:val="5EF55144"/>
    <w:rsid w:val="5F117D15"/>
    <w:rsid w:val="5F3575EC"/>
    <w:rsid w:val="5F3945E8"/>
    <w:rsid w:val="5F3F77F3"/>
    <w:rsid w:val="5F7016AD"/>
    <w:rsid w:val="5F8238CA"/>
    <w:rsid w:val="5F892A9A"/>
    <w:rsid w:val="5F8F6D88"/>
    <w:rsid w:val="5FAF2323"/>
    <w:rsid w:val="5FB32D4A"/>
    <w:rsid w:val="5FB34F76"/>
    <w:rsid w:val="5FC15D30"/>
    <w:rsid w:val="5FE94FB9"/>
    <w:rsid w:val="601020D3"/>
    <w:rsid w:val="601D6342"/>
    <w:rsid w:val="606B1F9B"/>
    <w:rsid w:val="606C3287"/>
    <w:rsid w:val="607467E6"/>
    <w:rsid w:val="607B20EE"/>
    <w:rsid w:val="607F2918"/>
    <w:rsid w:val="607F630A"/>
    <w:rsid w:val="60A33371"/>
    <w:rsid w:val="60AF33CD"/>
    <w:rsid w:val="60BF7035"/>
    <w:rsid w:val="60C03A75"/>
    <w:rsid w:val="60D076AF"/>
    <w:rsid w:val="61074B2C"/>
    <w:rsid w:val="611F20D1"/>
    <w:rsid w:val="61402804"/>
    <w:rsid w:val="61540F2F"/>
    <w:rsid w:val="61590CF6"/>
    <w:rsid w:val="61640D85"/>
    <w:rsid w:val="616B2D09"/>
    <w:rsid w:val="617F117B"/>
    <w:rsid w:val="618D56B1"/>
    <w:rsid w:val="618E5A8B"/>
    <w:rsid w:val="61922AFE"/>
    <w:rsid w:val="619E6659"/>
    <w:rsid w:val="61D53DD7"/>
    <w:rsid w:val="61E12202"/>
    <w:rsid w:val="61E85ACF"/>
    <w:rsid w:val="62083515"/>
    <w:rsid w:val="621B5382"/>
    <w:rsid w:val="62661F7A"/>
    <w:rsid w:val="626E5C32"/>
    <w:rsid w:val="628E6A01"/>
    <w:rsid w:val="62904726"/>
    <w:rsid w:val="62B0628B"/>
    <w:rsid w:val="62F9751E"/>
    <w:rsid w:val="631817F6"/>
    <w:rsid w:val="63273414"/>
    <w:rsid w:val="63542877"/>
    <w:rsid w:val="635D53DE"/>
    <w:rsid w:val="636D73B2"/>
    <w:rsid w:val="638B337E"/>
    <w:rsid w:val="6396020A"/>
    <w:rsid w:val="639A3E5B"/>
    <w:rsid w:val="639D3514"/>
    <w:rsid w:val="63A33EEF"/>
    <w:rsid w:val="63BB3ADE"/>
    <w:rsid w:val="63D20EE9"/>
    <w:rsid w:val="63E922F9"/>
    <w:rsid w:val="63ED38B5"/>
    <w:rsid w:val="63F14DD0"/>
    <w:rsid w:val="640A4BF9"/>
    <w:rsid w:val="640C4CBB"/>
    <w:rsid w:val="644071A4"/>
    <w:rsid w:val="6463410B"/>
    <w:rsid w:val="646D3F62"/>
    <w:rsid w:val="64701233"/>
    <w:rsid w:val="64A0298E"/>
    <w:rsid w:val="64A422EC"/>
    <w:rsid w:val="64D32942"/>
    <w:rsid w:val="64E52218"/>
    <w:rsid w:val="650C0849"/>
    <w:rsid w:val="65341F7B"/>
    <w:rsid w:val="653F2339"/>
    <w:rsid w:val="6540511A"/>
    <w:rsid w:val="655C1341"/>
    <w:rsid w:val="65713C13"/>
    <w:rsid w:val="658A70BB"/>
    <w:rsid w:val="65C26D7E"/>
    <w:rsid w:val="65C606D8"/>
    <w:rsid w:val="65FA0A26"/>
    <w:rsid w:val="660060CB"/>
    <w:rsid w:val="66492DF9"/>
    <w:rsid w:val="66BD20BA"/>
    <w:rsid w:val="66C67774"/>
    <w:rsid w:val="66CE67FB"/>
    <w:rsid w:val="66CF5083"/>
    <w:rsid w:val="66D95D0D"/>
    <w:rsid w:val="66F2149F"/>
    <w:rsid w:val="673718D2"/>
    <w:rsid w:val="674072BF"/>
    <w:rsid w:val="67515CD5"/>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44F05"/>
    <w:rsid w:val="68B9527B"/>
    <w:rsid w:val="68DA599F"/>
    <w:rsid w:val="690C1FF9"/>
    <w:rsid w:val="691E4C71"/>
    <w:rsid w:val="69347C5B"/>
    <w:rsid w:val="693D1CB5"/>
    <w:rsid w:val="69E37D2D"/>
    <w:rsid w:val="69FF3AC9"/>
    <w:rsid w:val="6A0B4AF4"/>
    <w:rsid w:val="6A201C4E"/>
    <w:rsid w:val="6A235EA7"/>
    <w:rsid w:val="6A6F72A4"/>
    <w:rsid w:val="6A7D3DDD"/>
    <w:rsid w:val="6A810ADE"/>
    <w:rsid w:val="6AA46E7B"/>
    <w:rsid w:val="6AAF1322"/>
    <w:rsid w:val="6ABF4A24"/>
    <w:rsid w:val="6ACA0BF5"/>
    <w:rsid w:val="6AD80589"/>
    <w:rsid w:val="6B523989"/>
    <w:rsid w:val="6B5275DD"/>
    <w:rsid w:val="6B8E7D65"/>
    <w:rsid w:val="6BA94B95"/>
    <w:rsid w:val="6BC14DDF"/>
    <w:rsid w:val="6BC8195B"/>
    <w:rsid w:val="6BD07FC3"/>
    <w:rsid w:val="6BFB15DB"/>
    <w:rsid w:val="6C17656C"/>
    <w:rsid w:val="6C19304C"/>
    <w:rsid w:val="6C2958FC"/>
    <w:rsid w:val="6C4E489F"/>
    <w:rsid w:val="6C6C20EE"/>
    <w:rsid w:val="6CAC2901"/>
    <w:rsid w:val="6CBC6EDB"/>
    <w:rsid w:val="6CCF6158"/>
    <w:rsid w:val="6CF03199"/>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966769"/>
    <w:rsid w:val="6E973F9B"/>
    <w:rsid w:val="6EAA2436"/>
    <w:rsid w:val="6EC64157"/>
    <w:rsid w:val="6F327A59"/>
    <w:rsid w:val="6F3B7BC3"/>
    <w:rsid w:val="6F7A2BFE"/>
    <w:rsid w:val="6F956418"/>
    <w:rsid w:val="6FA678D7"/>
    <w:rsid w:val="6FD527A1"/>
    <w:rsid w:val="70094468"/>
    <w:rsid w:val="703B6064"/>
    <w:rsid w:val="70473A60"/>
    <w:rsid w:val="706C2BC9"/>
    <w:rsid w:val="70781557"/>
    <w:rsid w:val="707920C3"/>
    <w:rsid w:val="70A05883"/>
    <w:rsid w:val="70B75733"/>
    <w:rsid w:val="70B82917"/>
    <w:rsid w:val="710358DF"/>
    <w:rsid w:val="712778E3"/>
    <w:rsid w:val="713D3965"/>
    <w:rsid w:val="71453340"/>
    <w:rsid w:val="714A02D7"/>
    <w:rsid w:val="71755457"/>
    <w:rsid w:val="71A57920"/>
    <w:rsid w:val="71C16647"/>
    <w:rsid w:val="71CD1B66"/>
    <w:rsid w:val="71DC3B27"/>
    <w:rsid w:val="71F80671"/>
    <w:rsid w:val="71F94B2A"/>
    <w:rsid w:val="721C62B3"/>
    <w:rsid w:val="724B48F1"/>
    <w:rsid w:val="7262497D"/>
    <w:rsid w:val="72675569"/>
    <w:rsid w:val="72763B61"/>
    <w:rsid w:val="72CC17CA"/>
    <w:rsid w:val="72E04962"/>
    <w:rsid w:val="72EE0705"/>
    <w:rsid w:val="72EE0BE9"/>
    <w:rsid w:val="731510DE"/>
    <w:rsid w:val="731A5C96"/>
    <w:rsid w:val="733525AE"/>
    <w:rsid w:val="73495D03"/>
    <w:rsid w:val="735A26E0"/>
    <w:rsid w:val="73604CC9"/>
    <w:rsid w:val="7364600D"/>
    <w:rsid w:val="73812D4F"/>
    <w:rsid w:val="73C475A4"/>
    <w:rsid w:val="73C8468F"/>
    <w:rsid w:val="73D06507"/>
    <w:rsid w:val="73DB7DDC"/>
    <w:rsid w:val="73E03BD4"/>
    <w:rsid w:val="73E72233"/>
    <w:rsid w:val="73E856FA"/>
    <w:rsid w:val="740A1881"/>
    <w:rsid w:val="742D4090"/>
    <w:rsid w:val="744F29CB"/>
    <w:rsid w:val="748D222D"/>
    <w:rsid w:val="74B67A9A"/>
    <w:rsid w:val="74B91DE3"/>
    <w:rsid w:val="74BB510E"/>
    <w:rsid w:val="74F94DAE"/>
    <w:rsid w:val="751F04AC"/>
    <w:rsid w:val="754023FF"/>
    <w:rsid w:val="754A14A2"/>
    <w:rsid w:val="75921CEB"/>
    <w:rsid w:val="75A0441A"/>
    <w:rsid w:val="75C91B42"/>
    <w:rsid w:val="75CD4AD3"/>
    <w:rsid w:val="75D120EB"/>
    <w:rsid w:val="75ED687C"/>
    <w:rsid w:val="76085B36"/>
    <w:rsid w:val="7609105F"/>
    <w:rsid w:val="76241941"/>
    <w:rsid w:val="762B6A28"/>
    <w:rsid w:val="763703E4"/>
    <w:rsid w:val="763E1354"/>
    <w:rsid w:val="766E64DB"/>
    <w:rsid w:val="76703500"/>
    <w:rsid w:val="76732D1E"/>
    <w:rsid w:val="76D74AD4"/>
    <w:rsid w:val="77013E25"/>
    <w:rsid w:val="772F460B"/>
    <w:rsid w:val="773A0571"/>
    <w:rsid w:val="779E6C12"/>
    <w:rsid w:val="77A8124D"/>
    <w:rsid w:val="77B16162"/>
    <w:rsid w:val="77C72204"/>
    <w:rsid w:val="77CC7105"/>
    <w:rsid w:val="77E11C15"/>
    <w:rsid w:val="77FA4E68"/>
    <w:rsid w:val="783B563C"/>
    <w:rsid w:val="78534063"/>
    <w:rsid w:val="786851C2"/>
    <w:rsid w:val="78793453"/>
    <w:rsid w:val="78852241"/>
    <w:rsid w:val="789326A7"/>
    <w:rsid w:val="78A147D8"/>
    <w:rsid w:val="78A956A5"/>
    <w:rsid w:val="78AF4E7A"/>
    <w:rsid w:val="78B37735"/>
    <w:rsid w:val="78BD52D8"/>
    <w:rsid w:val="78D83E8A"/>
    <w:rsid w:val="78F46178"/>
    <w:rsid w:val="79397CA5"/>
    <w:rsid w:val="79504628"/>
    <w:rsid w:val="79635225"/>
    <w:rsid w:val="79A1658B"/>
    <w:rsid w:val="79A668B5"/>
    <w:rsid w:val="79C52F28"/>
    <w:rsid w:val="79E120DE"/>
    <w:rsid w:val="7A081EF4"/>
    <w:rsid w:val="7A2A4905"/>
    <w:rsid w:val="7A3F4828"/>
    <w:rsid w:val="7A574882"/>
    <w:rsid w:val="7A5E7D4D"/>
    <w:rsid w:val="7A687E45"/>
    <w:rsid w:val="7A98238A"/>
    <w:rsid w:val="7AC66792"/>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F46A7"/>
    <w:rsid w:val="7C412227"/>
    <w:rsid w:val="7C45287A"/>
    <w:rsid w:val="7C5F5EDD"/>
    <w:rsid w:val="7C603D44"/>
    <w:rsid w:val="7C7D0917"/>
    <w:rsid w:val="7C826F76"/>
    <w:rsid w:val="7CB03DAC"/>
    <w:rsid w:val="7CC15A04"/>
    <w:rsid w:val="7CC16FE3"/>
    <w:rsid w:val="7CF42C3E"/>
    <w:rsid w:val="7CFC6AE1"/>
    <w:rsid w:val="7D125009"/>
    <w:rsid w:val="7D143C1C"/>
    <w:rsid w:val="7D2C2D02"/>
    <w:rsid w:val="7D347B3B"/>
    <w:rsid w:val="7D5E6C60"/>
    <w:rsid w:val="7D8F3CCC"/>
    <w:rsid w:val="7DA5119B"/>
    <w:rsid w:val="7DB9100E"/>
    <w:rsid w:val="7DD178FF"/>
    <w:rsid w:val="7DD93AF5"/>
    <w:rsid w:val="7E08488D"/>
    <w:rsid w:val="7E0B46C6"/>
    <w:rsid w:val="7E29658F"/>
    <w:rsid w:val="7E6C096D"/>
    <w:rsid w:val="7E741A9E"/>
    <w:rsid w:val="7E76669F"/>
    <w:rsid w:val="7E7D3589"/>
    <w:rsid w:val="7E945C6C"/>
    <w:rsid w:val="7E9E36A5"/>
    <w:rsid w:val="7EB97006"/>
    <w:rsid w:val="7EBD706C"/>
    <w:rsid w:val="7F05191B"/>
    <w:rsid w:val="7F0E0284"/>
    <w:rsid w:val="7F42661D"/>
    <w:rsid w:val="7F572FD5"/>
    <w:rsid w:val="7F693A0B"/>
    <w:rsid w:val="7F9230D4"/>
    <w:rsid w:val="7FB03C09"/>
    <w:rsid w:val="7FC2038E"/>
    <w:rsid w:val="7FC66C09"/>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spacing w:line="360" w:lineRule="auto"/>
      <w:outlineLvl w:val="1"/>
    </w:pPr>
    <w:rPr>
      <w:bCs/>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3"/>
    <w:basedOn w:val="1"/>
    <w:link w:val="28"/>
    <w:qFormat/>
    <w:uiPriority w:val="0"/>
    <w:pPr>
      <w:spacing w:after="120"/>
      <w:ind w:left="420" w:leftChars="200"/>
    </w:pPr>
    <w:rPr>
      <w:sz w:val="16"/>
      <w:szCs w:val="16"/>
    </w:rPr>
  </w:style>
  <w:style w:type="paragraph" w:styleId="4">
    <w:name w:val="Document Map"/>
    <w:basedOn w:val="1"/>
    <w:link w:val="33"/>
    <w:qFormat/>
    <w:uiPriority w:val="0"/>
    <w:rPr>
      <w:rFonts w:ascii="宋体"/>
      <w:sz w:val="18"/>
      <w:szCs w:val="18"/>
    </w:rPr>
  </w:style>
  <w:style w:type="paragraph" w:styleId="5">
    <w:name w:val="annotation text"/>
    <w:basedOn w:val="1"/>
    <w:qFormat/>
    <w:uiPriority w:val="0"/>
    <w:pPr>
      <w:jc w:val="left"/>
    </w:pPr>
  </w:style>
  <w:style w:type="paragraph" w:styleId="6">
    <w:name w:val="Body Text"/>
    <w:basedOn w:val="1"/>
    <w:qFormat/>
    <w:uiPriority w:val="0"/>
    <w:pPr>
      <w:spacing w:line="360" w:lineRule="auto"/>
    </w:pPr>
    <w:rPr>
      <w:rFonts w:ascii="宋体" w:hAnsi="宋体"/>
      <w:sz w:val="24"/>
    </w:rPr>
  </w:style>
  <w:style w:type="paragraph" w:styleId="7">
    <w:name w:val="Body Text Indent"/>
    <w:basedOn w:val="1"/>
    <w:qFormat/>
    <w:uiPriority w:val="0"/>
    <w:pPr>
      <w:spacing w:line="360" w:lineRule="auto"/>
      <w:ind w:firstLine="420" w:firstLineChars="200"/>
    </w:pPr>
    <w:rPr>
      <w:rFonts w:ascii="宋体" w:hAnsi="宋体"/>
    </w:rPr>
  </w:style>
  <w:style w:type="paragraph" w:styleId="8">
    <w:name w:val="Block Text"/>
    <w:basedOn w:val="1"/>
    <w:next w:val="9"/>
    <w:unhideWhenUsed/>
    <w:qFormat/>
    <w:uiPriority w:val="99"/>
    <w:rPr>
      <w:rFonts w:hint="eastAsia" w:ascii="Calibri" w:hAnsi="Calibri"/>
      <w:sz w:val="30"/>
    </w:rPr>
  </w:style>
  <w:style w:type="paragraph" w:styleId="9">
    <w:name w:val="Title"/>
    <w:basedOn w:val="1"/>
    <w:next w:val="1"/>
    <w:qFormat/>
    <w:uiPriority w:val="10"/>
    <w:rPr>
      <w:rFonts w:hint="eastAsia" w:ascii="Arial" w:hAnsi="Arial"/>
      <w:b/>
      <w:sz w:val="24"/>
    </w:rPr>
  </w:style>
  <w:style w:type="paragraph" w:styleId="10">
    <w:name w:val="Plain Text"/>
    <w:basedOn w:val="1"/>
    <w:link w:val="27"/>
    <w:qFormat/>
    <w:uiPriority w:val="0"/>
    <w:rPr>
      <w:rFonts w:ascii="宋体" w:hAnsi="Courier New" w:cs="Courier New"/>
      <w:szCs w:val="21"/>
    </w:rPr>
  </w:style>
  <w:style w:type="paragraph" w:styleId="11">
    <w:name w:val="Date"/>
    <w:basedOn w:val="1"/>
    <w:next w:val="1"/>
    <w:qFormat/>
    <w:uiPriority w:val="0"/>
    <w:pPr>
      <w:ind w:left="100" w:leftChars="2500"/>
    </w:pPr>
    <w:rPr>
      <w:rFonts w:ascii="宋体" w:hAnsi="宋体"/>
      <w:color w:val="FF6600"/>
      <w:kern w:val="0"/>
      <w:sz w:val="24"/>
    </w:rPr>
  </w:style>
  <w:style w:type="paragraph" w:styleId="12">
    <w:name w:val="Body Text Indent 2"/>
    <w:basedOn w:val="1"/>
    <w:link w:val="26"/>
    <w:qFormat/>
    <w:uiPriority w:val="0"/>
    <w:pPr>
      <w:spacing w:after="120" w:line="480" w:lineRule="auto"/>
      <w:ind w:left="420" w:leftChars="200"/>
    </w:pPr>
  </w:style>
  <w:style w:type="paragraph" w:styleId="13">
    <w:name w:val="Balloon Text"/>
    <w:basedOn w:val="1"/>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widowControl/>
      <w:spacing w:before="100" w:beforeAutospacing="1" w:after="100" w:afterAutospacing="1"/>
      <w:jc w:val="left"/>
    </w:pPr>
    <w:rPr>
      <w:rFonts w:ascii="宋体"/>
      <w:kern w:val="0"/>
      <w:sz w:val="24"/>
    </w:rPr>
  </w:style>
  <w:style w:type="paragraph" w:styleId="17">
    <w:name w:val="annotation subject"/>
    <w:basedOn w:val="5"/>
    <w:next w:val="5"/>
    <w:qFormat/>
    <w:uiPriority w:val="0"/>
    <w:rPr>
      <w:b/>
      <w:bCs/>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1">
    <w:name w:val="Strong"/>
    <w:basedOn w:val="20"/>
    <w:qFormat/>
    <w:uiPriority w:val="99"/>
    <w:rPr>
      <w:b/>
      <w:bCs/>
    </w:rPr>
  </w:style>
  <w:style w:type="character" w:styleId="22">
    <w:name w:val="page number"/>
    <w:basedOn w:val="20"/>
    <w:qFormat/>
    <w:uiPriority w:val="0"/>
  </w:style>
  <w:style w:type="character" w:styleId="23">
    <w:name w:val="Emphasis"/>
    <w:basedOn w:val="20"/>
    <w:qFormat/>
    <w:uiPriority w:val="0"/>
    <w:rPr>
      <w:i/>
    </w:rPr>
  </w:style>
  <w:style w:type="character" w:styleId="24">
    <w:name w:val="Hyperlink"/>
    <w:basedOn w:val="20"/>
    <w:qFormat/>
    <w:uiPriority w:val="0"/>
    <w:rPr>
      <w:color w:val="0000FF"/>
      <w:u w:val="single"/>
    </w:rPr>
  </w:style>
  <w:style w:type="character" w:styleId="25">
    <w:name w:val="annotation reference"/>
    <w:basedOn w:val="20"/>
    <w:qFormat/>
    <w:uiPriority w:val="0"/>
    <w:rPr>
      <w:sz w:val="21"/>
      <w:szCs w:val="21"/>
    </w:rPr>
  </w:style>
  <w:style w:type="character" w:customStyle="1" w:styleId="26">
    <w:name w:val="正文文本缩进 2 字符"/>
    <w:basedOn w:val="20"/>
    <w:link w:val="12"/>
    <w:qFormat/>
    <w:uiPriority w:val="0"/>
    <w:rPr>
      <w:kern w:val="2"/>
      <w:sz w:val="21"/>
      <w:szCs w:val="24"/>
    </w:rPr>
  </w:style>
  <w:style w:type="character" w:customStyle="1" w:styleId="27">
    <w:name w:val="纯文本 字符"/>
    <w:basedOn w:val="20"/>
    <w:link w:val="10"/>
    <w:qFormat/>
    <w:uiPriority w:val="0"/>
    <w:rPr>
      <w:rFonts w:ascii="宋体" w:hAnsi="Courier New" w:cs="Courier New"/>
      <w:kern w:val="2"/>
      <w:sz w:val="21"/>
      <w:szCs w:val="21"/>
    </w:rPr>
  </w:style>
  <w:style w:type="character" w:customStyle="1" w:styleId="28">
    <w:name w:val="正文文本缩进 3 字符"/>
    <w:basedOn w:val="20"/>
    <w:link w:val="2"/>
    <w:qFormat/>
    <w:uiPriority w:val="0"/>
    <w:rPr>
      <w:kern w:val="2"/>
      <w:sz w:val="16"/>
      <w:szCs w:val="16"/>
    </w:rPr>
  </w:style>
  <w:style w:type="paragraph" w:customStyle="1" w:styleId="29">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30">
    <w:name w:val="List Paragraph"/>
    <w:basedOn w:val="1"/>
    <w:qFormat/>
    <w:uiPriority w:val="34"/>
    <w:pPr>
      <w:ind w:firstLine="420" w:firstLineChars="200"/>
    </w:pPr>
  </w:style>
  <w:style w:type="paragraph" w:customStyle="1" w:styleId="31">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32">
    <w:name w:val="正文文本缩进 2 Char1"/>
    <w:basedOn w:val="20"/>
    <w:semiHidden/>
    <w:qFormat/>
    <w:locked/>
    <w:uiPriority w:val="0"/>
    <w:rPr>
      <w:kern w:val="2"/>
      <w:sz w:val="21"/>
      <w:szCs w:val="24"/>
    </w:rPr>
  </w:style>
  <w:style w:type="character" w:customStyle="1" w:styleId="33">
    <w:name w:val="文档结构图 字符"/>
    <w:basedOn w:val="20"/>
    <w:link w:val="4"/>
    <w:qFormat/>
    <w:uiPriority w:val="0"/>
    <w:rPr>
      <w:rFonts w:ascii="宋体"/>
      <w:kern w:val="2"/>
      <w:sz w:val="18"/>
      <w:szCs w:val="18"/>
    </w:rPr>
  </w:style>
  <w:style w:type="paragraph" w:customStyle="1" w:styleId="34">
    <w:name w:val="目录 11"/>
    <w:basedOn w:val="1"/>
    <w:next w:val="1"/>
    <w:qFormat/>
    <w:uiPriority w:val="39"/>
    <w:pPr>
      <w:tabs>
        <w:tab w:val="right" w:leader="dot" w:pos="9241"/>
      </w:tabs>
      <w:spacing w:line="360" w:lineRule="auto"/>
    </w:pPr>
    <w:rPr>
      <w:rFonts w:ascii="宋体" w:hAnsi="宋体"/>
      <w:sz w:val="24"/>
    </w:rPr>
  </w:style>
  <w:style w:type="paragraph" w:customStyle="1" w:styleId="35">
    <w:name w:val="Table Paragraph"/>
    <w:basedOn w:val="1"/>
    <w:qFormat/>
    <w:uiPriority w:val="1"/>
    <w:pPr>
      <w:jc w:val="center"/>
    </w:pPr>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7"/>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D1B56-4630-4C2F-BE52-E33EF3D1AA7F}">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7</Pages>
  <Words>3831</Words>
  <Characters>4002</Characters>
  <Lines>30</Lines>
  <Paragraphs>8</Paragraphs>
  <TotalTime>3</TotalTime>
  <ScaleCrop>false</ScaleCrop>
  <LinksUpToDate>false</LinksUpToDate>
  <CharactersWithSpaces>4115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2022-05-04T13:04:00Z</dcterms:created>
  <dc:creator>Xer</dc:creator>
  <cp:lastModifiedBy>齐虹</cp:lastModifiedBy>
  <cp:lastPrinted>2021-07-15T07:43:00Z</cp:lastPrinted>
  <dcterms:modified xsi:type="dcterms:W3CDTF">2023-04-07T07:02:44Z</dcterms:modified>
  <dc:title>《质量手册》批准发布令</dc:title>
  <cp:revision>1336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