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8"/>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w:t>
            </w:r>
            <w:r>
              <w:rPr>
                <w:rFonts w:hint="eastAsia" w:eastAsia="隶书"/>
                <w:b/>
                <w:bCs/>
                <w:sz w:val="24"/>
                <w:lang w:val="en-US" w:eastAsia="zh-CN"/>
              </w:rPr>
              <w:t>X</w:t>
            </w:r>
            <w:r>
              <w:rPr>
                <w:rFonts w:hint="eastAsia" w:eastAsia="隶书"/>
                <w:b/>
                <w:bCs/>
                <w:sz w:val="24"/>
              </w:rPr>
              <w:t>PS/ZN-</w:t>
            </w:r>
            <w:r>
              <w:rPr>
                <w:rFonts w:hint="eastAsia" w:eastAsia="隶书"/>
                <w:b/>
                <w:bCs/>
                <w:sz w:val="24"/>
                <w:lang w:val="en-US" w:eastAsia="zh-CN"/>
              </w:rPr>
              <w:t>YDC</w:t>
            </w:r>
            <w:r>
              <w:rPr>
                <w:rFonts w:hint="eastAsia" w:eastAsia="隶书"/>
                <w:b/>
                <w:bCs/>
                <w:sz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lang w:val="en-US" w:eastAsia="zh-CN"/>
        </w:rPr>
      </w:pPr>
      <w:r>
        <w:rPr>
          <w:rFonts w:hint="eastAsia" w:ascii="隶书" w:hAnsi="宋体" w:eastAsia="隶书" w:cs="宋体"/>
          <w:b/>
          <w:bCs/>
          <w:spacing w:val="23"/>
          <w:sz w:val="84"/>
          <w:szCs w:val="84"/>
        </w:rPr>
        <w:t>特种设</w:t>
      </w:r>
      <w:r>
        <w:rPr>
          <w:rFonts w:hint="eastAsia" w:ascii="隶书" w:hAnsi="宋体" w:eastAsia="隶书" w:cs="宋体"/>
          <w:b/>
          <w:bCs/>
          <w:spacing w:val="0"/>
          <w:sz w:val="84"/>
          <w:szCs w:val="84"/>
        </w:rPr>
        <w:t>备</w:t>
      </w:r>
      <w:r>
        <w:rPr>
          <w:rFonts w:hint="eastAsia" w:ascii="隶书" w:hAnsi="宋体" w:eastAsia="隶书" w:cs="宋体"/>
          <w:b/>
          <w:bCs/>
          <w:spacing w:val="0"/>
          <w:sz w:val="84"/>
          <w:szCs w:val="84"/>
          <w:lang w:val="en-US" w:eastAsia="zh-CN"/>
        </w:rPr>
        <w:t>行政许可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lang w:val="en-US" w:eastAsia="zh-CN"/>
        </w:rPr>
      </w:pPr>
      <w:r>
        <w:rPr>
          <w:rFonts w:hint="eastAsia" w:ascii="隶书" w:hAnsi="宋体" w:eastAsia="隶书" w:cs="宋体"/>
          <w:b/>
          <w:bCs/>
          <w:spacing w:val="0"/>
          <w:sz w:val="84"/>
          <w:szCs w:val="84"/>
          <w:lang w:val="en-US" w:eastAsia="zh-CN"/>
        </w:rPr>
        <w:t>第</w:t>
      </w:r>
      <w:r>
        <w:rPr>
          <w:rFonts w:hint="eastAsia" w:ascii="隶书" w:hAnsi="宋体" w:eastAsia="隶书" w:cs="宋体"/>
          <w:b/>
          <w:bCs/>
          <w:spacing w:val="0"/>
          <w:sz w:val="72"/>
          <w:szCs w:val="72"/>
          <w:lang w:val="en-US" w:eastAsia="zh-CN"/>
        </w:rPr>
        <w:t>6</w:t>
      </w:r>
      <w:r>
        <w:rPr>
          <w:rFonts w:hint="eastAsia" w:ascii="隶书" w:hAnsi="宋体" w:eastAsia="隶书" w:cs="宋体"/>
          <w:b/>
          <w:bCs/>
          <w:spacing w:val="0"/>
          <w:sz w:val="84"/>
          <w:szCs w:val="84"/>
          <w:lang w:val="en-US" w:eastAsia="zh-CN"/>
        </w:rPr>
        <w:t>部分 专用指南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隶书" w:hAnsi="宋体" w:eastAsia="隶书" w:cs="宋体"/>
          <w:b/>
          <w:bCs/>
          <w:spacing w:val="-28"/>
          <w:sz w:val="84"/>
          <w:szCs w:val="84"/>
          <w:lang w:val="en-US" w:eastAsia="zh-CN"/>
        </w:rPr>
      </w:pPr>
      <w:r>
        <w:rPr>
          <w:rFonts w:hint="eastAsia" w:ascii="隶书" w:hAnsi="宋体" w:eastAsia="隶书" w:cs="宋体"/>
          <w:b/>
          <w:bCs/>
          <w:spacing w:val="0"/>
          <w:sz w:val="84"/>
          <w:szCs w:val="84"/>
          <w:lang w:val="en-US" w:eastAsia="zh-CN"/>
        </w:rPr>
        <w:t>移动式压力容</w:t>
      </w:r>
      <w:r>
        <w:rPr>
          <w:rFonts w:hint="eastAsia" w:ascii="隶书" w:hAnsi="宋体" w:eastAsia="隶书" w:cs="宋体"/>
          <w:b/>
          <w:bCs/>
          <w:spacing w:val="-28"/>
          <w:sz w:val="84"/>
          <w:szCs w:val="84"/>
          <w:lang w:val="en-US" w:eastAsia="zh-CN"/>
        </w:rPr>
        <w:t>器充装单位</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hint="eastAsia" w:ascii="隶书" w:hAnsi="黑体" w:eastAsia="隶书"/>
          <w:sz w:val="52"/>
          <w:szCs w:val="52"/>
          <w:lang w:eastAsia="zh-CN"/>
        </w:rPr>
      </w:pPr>
      <w:bookmarkStart w:id="8" w:name="_GoBack"/>
      <w:bookmarkEnd w:id="8"/>
      <w:r>
        <w:rPr>
          <w:rFonts w:hint="eastAsia" w:ascii="隶书" w:hAnsi="黑体" w:eastAsia="隶书"/>
          <w:sz w:val="52"/>
          <w:szCs w:val="52"/>
        </w:rPr>
        <w:t xml:space="preserve"> </w:t>
      </w:r>
    </w:p>
    <w:p>
      <w:pPr>
        <w:jc w:val="center"/>
        <w:rPr>
          <w:rFonts w:eastAsia="隶书"/>
          <w:b/>
          <w:bCs/>
          <w:sz w:val="30"/>
        </w:rPr>
      </w:pPr>
    </w:p>
    <w:p>
      <w:pPr>
        <w:tabs>
          <w:tab w:val="left" w:pos="3820"/>
        </w:tabs>
        <w:jc w:val="left"/>
        <w:rPr>
          <w:rFonts w:eastAsia="隶书"/>
          <w:b/>
          <w:bCs/>
          <w:sz w:val="30"/>
        </w:rPr>
      </w:pPr>
      <w:r>
        <w:rPr>
          <w:rFonts w:hint="eastAsia" w:eastAsia="隶书"/>
          <w:b/>
          <w:bCs/>
          <w:sz w:val="30"/>
          <w:lang w:eastAsia="zh-CN"/>
        </w:rPr>
        <w:tab/>
      </w:r>
    </w:p>
    <w:p>
      <w:pPr>
        <w:jc w:val="center"/>
        <w:rPr>
          <w:rFonts w:hint="eastAsia" w:eastAsia="隶书"/>
          <w:spacing w:val="-6"/>
          <w:sz w:val="32"/>
          <w:lang w:eastAsia="zh-CN"/>
        </w:rPr>
      </w:pPr>
      <w:r>
        <w:rPr>
          <w:rFonts w:hint="eastAsia" w:eastAsia="隶书"/>
          <w:b/>
          <w:sz w:val="48"/>
        </w:rPr>
        <w:t>湖南省特种设备</w:t>
      </w:r>
      <w:r>
        <w:rPr>
          <w:rFonts w:hint="eastAsia" w:eastAsia="隶书"/>
          <w:b/>
          <w:sz w:val="48"/>
          <w:lang w:val="en-US" w:eastAsia="zh-CN"/>
        </w:rPr>
        <w:t>协会</w:t>
      </w:r>
    </w:p>
    <w:p>
      <w:pPr>
        <w:spacing w:before="312" w:beforeLines="100" w:after="100" w:afterAutospacing="1" w:line="400" w:lineRule="exact"/>
        <w:jc w:val="center"/>
        <w:outlineLvl w:val="0"/>
        <w:rPr>
          <w:rFonts w:hint="eastAsia" w:ascii="黑体" w:hAnsi="黑体" w:eastAsia="黑体"/>
          <w:b/>
          <w:sz w:val="32"/>
          <w:szCs w:val="32"/>
          <w:lang w:eastAsia="zh-CN"/>
        </w:rPr>
      </w:pPr>
      <w:bookmarkStart w:id="0" w:name="OLE_LINK54"/>
      <w:bookmarkStart w:id="1" w:name="OLE_LINK53"/>
      <w:r>
        <w:rPr>
          <w:rFonts w:hint="eastAsia" w:ascii="黑体" w:hAnsi="黑体" w:eastAsia="黑体"/>
          <w:b/>
          <w:sz w:val="32"/>
          <w:szCs w:val="32"/>
          <w:lang w:eastAsia="zh-CN"/>
        </w:rPr>
        <w:t>特种设备行政许可现场鉴定评审指南</w:t>
      </w:r>
    </w:p>
    <w:p>
      <w:pPr>
        <w:spacing w:beforeLines="100" w:after="100" w:afterAutospacing="1" w:line="400" w:lineRule="exact"/>
        <w:jc w:val="center"/>
        <w:outlineLvl w:val="0"/>
        <w:rPr>
          <w:rFonts w:hint="default" w:ascii="黑体" w:hAnsi="黑体" w:eastAsia="黑体"/>
          <w:b/>
          <w:sz w:val="32"/>
          <w:szCs w:val="32"/>
          <w:lang w:val="en-US" w:eastAsia="zh-CN"/>
        </w:rPr>
      </w:pPr>
      <w:r>
        <w:rPr>
          <w:rFonts w:hint="eastAsia" w:ascii="黑体" w:hAnsi="黑体" w:eastAsia="黑体"/>
          <w:b/>
          <w:sz w:val="32"/>
          <w:szCs w:val="32"/>
          <w:lang w:val="en-US" w:eastAsia="zh-CN"/>
        </w:rPr>
        <w:t>第6部分 专用指南 移动式压力容器充装单位</w:t>
      </w:r>
    </w:p>
    <w:bookmarkEnd w:id="0"/>
    <w:bookmarkEnd w:id="1"/>
    <w:p>
      <w:pPr>
        <w:spacing w:line="480" w:lineRule="auto"/>
        <w:outlineLvl w:val="0"/>
        <w:rPr>
          <w:rFonts w:ascii="宋体" w:hAnsi="宋体" w:cs="黑体"/>
          <w:b/>
          <w:sz w:val="24"/>
        </w:rPr>
      </w:pPr>
      <w:bookmarkStart w:id="2" w:name="OLE_LINK125"/>
      <w:bookmarkStart w:id="3" w:name="OLE_LINK124"/>
      <w:r>
        <w:rPr>
          <w:rFonts w:hint="eastAsia" w:ascii="宋体" w:hAnsi="宋体" w:cs="黑体"/>
          <w:b/>
          <w:sz w:val="24"/>
        </w:rPr>
        <w:t>1  范围</w:t>
      </w:r>
    </w:p>
    <w:bookmarkEnd w:id="2"/>
    <w:bookmarkEnd w:id="3"/>
    <w:p>
      <w:pPr>
        <w:spacing w:line="360" w:lineRule="auto"/>
        <w:ind w:firstLine="480" w:firstLineChars="200"/>
        <w:rPr>
          <w:rFonts w:hint="default" w:ascii="宋体" w:hAnsi="宋体" w:eastAsia="宋体"/>
          <w:sz w:val="24"/>
          <w:lang w:val="en-US" w:eastAsia="zh-CN"/>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w:t>
      </w:r>
      <w:r>
        <w:rPr>
          <w:rFonts w:hint="eastAsia" w:ascii="宋体" w:hAnsi="宋体"/>
          <w:sz w:val="24"/>
          <w:lang w:val="en-US" w:eastAsia="zh-CN"/>
        </w:rPr>
        <w:t>6</w:t>
      </w:r>
      <w:r>
        <w:rPr>
          <w:rFonts w:hint="eastAsia" w:ascii="宋体" w:hAnsi="宋体"/>
          <w:sz w:val="24"/>
        </w:rPr>
        <w:t xml:space="preserve">部分 </w:t>
      </w:r>
      <w:r>
        <w:rPr>
          <w:rFonts w:hint="eastAsia" w:ascii="宋体" w:hAnsi="宋体"/>
          <w:sz w:val="24"/>
          <w:lang w:val="en-US" w:eastAsia="zh-CN"/>
        </w:rPr>
        <w:t>专</w:t>
      </w:r>
      <w:r>
        <w:rPr>
          <w:rFonts w:hint="eastAsia" w:ascii="宋体" w:hAnsi="宋体"/>
          <w:sz w:val="24"/>
        </w:rPr>
        <w:t>用指南</w:t>
      </w:r>
      <w:r>
        <w:rPr>
          <w:rFonts w:hint="eastAsia" w:ascii="宋体" w:hAnsi="宋体"/>
          <w:sz w:val="24"/>
          <w:lang w:val="en-US" w:eastAsia="zh-CN"/>
        </w:rPr>
        <w:t xml:space="preserve"> 移动式压力容器充装单位。</w:t>
      </w:r>
    </w:p>
    <w:p>
      <w:pPr>
        <w:spacing w:line="360" w:lineRule="auto"/>
        <w:ind w:firstLine="480" w:firstLineChars="200"/>
        <w:rPr>
          <w:rFonts w:ascii="宋体" w:hAnsi="宋体"/>
          <w:sz w:val="24"/>
        </w:rPr>
      </w:pPr>
      <w:r>
        <w:rPr>
          <w:rFonts w:hint="eastAsia" w:ascii="宋体" w:hAnsi="宋体"/>
          <w:sz w:val="24"/>
        </w:rPr>
        <w:t>本部分规定了</w:t>
      </w:r>
      <w:bookmarkStart w:id="4" w:name="OLE_LINK36"/>
      <w:bookmarkStart w:id="5" w:name="OLE_LINK35"/>
      <w:r>
        <w:rPr>
          <w:rFonts w:hint="eastAsia" w:ascii="宋体" w:hAnsi="宋体"/>
          <w:sz w:val="24"/>
          <w:lang w:val="en-US" w:eastAsia="zh-CN"/>
        </w:rPr>
        <w:t>移动式压力容器充装单位鉴定</w:t>
      </w:r>
      <w:r>
        <w:rPr>
          <w:rFonts w:hint="eastAsia" w:ascii="宋体" w:hAnsi="宋体"/>
          <w:sz w:val="24"/>
        </w:rPr>
        <w:t>评审</w:t>
      </w:r>
      <w:r>
        <w:rPr>
          <w:rFonts w:hint="eastAsia" w:ascii="宋体" w:hAnsi="宋体"/>
          <w:sz w:val="24"/>
          <w:lang w:val="en-US" w:eastAsia="zh-CN"/>
        </w:rPr>
        <w:t>的</w:t>
      </w:r>
      <w:r>
        <w:rPr>
          <w:rFonts w:hint="eastAsia" w:ascii="宋体" w:hAnsi="宋体"/>
          <w:sz w:val="24"/>
        </w:rPr>
        <w:t>基本内容与方法、需要提供的满足核准条件的相关见证、需要提交评审机构的资料等方面的基本要求。</w:t>
      </w:r>
    </w:p>
    <w:bookmarkEnd w:id="4"/>
    <w:bookmarkEnd w:id="5"/>
    <w:p>
      <w:pPr>
        <w:spacing w:line="480" w:lineRule="auto"/>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 xml:space="preserve">2.1 </w:t>
      </w:r>
      <w:r>
        <w:rPr>
          <w:rFonts w:hint="eastAsia" w:ascii="宋体" w:hAnsi="宋体" w:eastAsia="宋体" w:cs="宋体"/>
          <w:sz w:val="24"/>
          <w:szCs w:val="24"/>
        </w:rPr>
        <w:t>《中华人民共和国特种设备安全法》</w:t>
      </w:r>
    </w:p>
    <w:p>
      <w:pPr>
        <w:spacing w:line="360" w:lineRule="auto"/>
        <w:ind w:firstLine="480" w:firstLineChars="200"/>
        <w:rPr>
          <w:rFonts w:ascii="宋体" w:hAnsi="宋体"/>
          <w:sz w:val="24"/>
        </w:rPr>
      </w:pPr>
      <w:r>
        <w:rPr>
          <w:rFonts w:hint="eastAsia" w:ascii="宋体" w:hAnsi="宋体"/>
          <w:sz w:val="24"/>
        </w:rPr>
        <w:t xml:space="preserve">2.2 </w:t>
      </w:r>
      <w:r>
        <w:rPr>
          <w:rFonts w:hint="eastAsia" w:ascii="宋体" w:hAnsi="宋体" w:eastAsia="宋体" w:cs="宋体"/>
          <w:sz w:val="24"/>
          <w:szCs w:val="24"/>
        </w:rPr>
        <w:t>《特种设备安全监察条例》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5"/>
      <w:bookmarkStart w:id="7" w:name="OLE_LINK114"/>
      <w:r>
        <w:rPr>
          <w:rFonts w:hint="eastAsia" w:ascii="宋体" w:hAnsi="宋体"/>
          <w:sz w:val="24"/>
        </w:rPr>
        <w:t xml:space="preserve"> </w:t>
      </w:r>
      <w:bookmarkEnd w:id="6"/>
      <w:bookmarkEnd w:id="7"/>
      <w:r>
        <w:rPr>
          <w:rFonts w:hint="eastAsia" w:ascii="宋体" w:hAnsi="宋体" w:eastAsia="宋体" w:cs="宋体"/>
          <w:sz w:val="24"/>
          <w:szCs w:val="24"/>
        </w:rPr>
        <w:t>TSG 07-2019《特种设备生产和充装单位许可规则》及修改单</w:t>
      </w:r>
    </w:p>
    <w:p>
      <w:pPr>
        <w:spacing w:line="360" w:lineRule="auto"/>
        <w:ind w:firstLine="480" w:firstLineChars="200"/>
        <w:rPr>
          <w:rFonts w:hint="eastAsia" w:ascii="宋体" w:hAnsi="宋体"/>
          <w:sz w:val="24"/>
        </w:rPr>
      </w:pPr>
      <w:r>
        <w:rPr>
          <w:rFonts w:hint="eastAsia" w:ascii="宋体" w:hAnsi="宋体"/>
          <w:sz w:val="24"/>
        </w:rPr>
        <w:t>2.4  TSG</w:t>
      </w:r>
      <w:r>
        <w:rPr>
          <w:rFonts w:hint="eastAsia" w:ascii="宋体" w:hAnsi="宋体"/>
          <w:sz w:val="24"/>
          <w:lang w:val="en-US" w:eastAsia="zh-CN"/>
        </w:rPr>
        <w:t xml:space="preserve"> R0005</w:t>
      </w:r>
      <w:r>
        <w:rPr>
          <w:rFonts w:hint="eastAsia" w:ascii="宋体" w:hAnsi="宋体"/>
          <w:sz w:val="24"/>
        </w:rPr>
        <w:t>-20</w:t>
      </w:r>
      <w:r>
        <w:rPr>
          <w:rFonts w:hint="eastAsia" w:ascii="宋体" w:hAnsi="宋体"/>
          <w:sz w:val="24"/>
          <w:lang w:val="en-US" w:eastAsia="zh-CN"/>
        </w:rPr>
        <w:t>1</w:t>
      </w:r>
      <w:r>
        <w:rPr>
          <w:rFonts w:hint="eastAsia" w:ascii="宋体" w:hAnsi="宋体"/>
          <w:sz w:val="24"/>
        </w:rPr>
        <w:t>1</w:t>
      </w:r>
      <w:r>
        <w:rPr>
          <w:rFonts w:hint="eastAsia" w:ascii="宋体" w:hAnsi="宋体" w:eastAsia="宋体" w:cs="宋体"/>
          <w:sz w:val="24"/>
          <w:szCs w:val="24"/>
        </w:rPr>
        <w:t>《移动式压力容器安全技术监察规程》及修改单</w:t>
      </w:r>
    </w:p>
    <w:p>
      <w:pPr>
        <w:spacing w:line="360" w:lineRule="auto"/>
        <w:ind w:firstLine="480" w:firstLineChars="200"/>
        <w:rPr>
          <w:rFonts w:hint="eastAsia" w:ascii="宋体" w:hAnsi="宋体"/>
          <w:sz w:val="24"/>
          <w:lang w:val="en-US" w:eastAsia="zh-CN"/>
        </w:rPr>
      </w:pPr>
      <w:r>
        <w:rPr>
          <w:rFonts w:hint="eastAsia" w:ascii="宋体" w:hAnsi="宋体"/>
          <w:sz w:val="24"/>
        </w:rPr>
        <w:t>2.</w:t>
      </w:r>
      <w:r>
        <w:rPr>
          <w:rFonts w:hint="eastAsia" w:ascii="宋体" w:hAnsi="宋体"/>
          <w:sz w:val="24"/>
          <w:lang w:val="en-US" w:eastAsia="zh-CN"/>
        </w:rPr>
        <w:t>5</w:t>
      </w:r>
      <w:r>
        <w:rPr>
          <w:rFonts w:hint="eastAsia" w:ascii="宋体" w:hAnsi="宋体"/>
          <w:sz w:val="24"/>
        </w:rPr>
        <w:t xml:space="preserve">  </w:t>
      </w:r>
      <w:r>
        <w:rPr>
          <w:rFonts w:hint="eastAsia" w:ascii="宋体" w:hAnsi="宋体"/>
          <w:sz w:val="24"/>
          <w:lang w:val="en-US" w:eastAsia="zh-CN"/>
        </w:rPr>
        <w:t>XTXPS/ZN-JXC-2022《特种设备行政许可现场鉴定评审指南 第1部分 通用指南 基本程序和要求》</w:t>
      </w:r>
    </w:p>
    <w:p>
      <w:pPr>
        <w:spacing w:line="360" w:lineRule="auto"/>
        <w:ind w:firstLine="480" w:firstLineChars="200"/>
        <w:rPr>
          <w:rFonts w:ascii="宋体" w:hAnsi="宋体"/>
          <w:sz w:val="24"/>
        </w:rPr>
      </w:pPr>
      <w:r>
        <w:rPr>
          <w:rFonts w:hint="eastAsia" w:ascii="宋体" w:hAnsi="宋体"/>
          <w:sz w:val="24"/>
          <w:lang w:val="en-US" w:eastAsia="zh-CN"/>
        </w:rPr>
        <w:t xml:space="preserve">2.6  </w:t>
      </w:r>
      <w:r>
        <w:rPr>
          <w:rFonts w:hint="eastAsia" w:ascii="宋体" w:hAnsi="宋体"/>
          <w:sz w:val="24"/>
        </w:rPr>
        <w:t>其他</w:t>
      </w:r>
      <w:r>
        <w:rPr>
          <w:rFonts w:hint="eastAsia" w:ascii="宋体" w:hAnsi="宋体" w:eastAsia="宋体" w:cs="宋体"/>
          <w:sz w:val="24"/>
          <w:szCs w:val="24"/>
        </w:rPr>
        <w:t>移动式压力容器技术规范与技术标准</w:t>
      </w:r>
    </w:p>
    <w:p>
      <w:pPr>
        <w:tabs>
          <w:tab w:val="left" w:pos="2490"/>
        </w:tabs>
        <w:spacing w:line="480" w:lineRule="auto"/>
        <w:outlineLvl w:val="0"/>
        <w:rPr>
          <w:rFonts w:hint="eastAsia" w:ascii="宋体" w:hAnsi="宋体" w:eastAsia="宋体" w:cs="黑体"/>
          <w:b/>
          <w:sz w:val="24"/>
          <w:lang w:eastAsia="zh-CN"/>
        </w:rPr>
      </w:pPr>
      <w:r>
        <w:rPr>
          <w:rFonts w:hint="eastAsia" w:ascii="宋体" w:hAnsi="宋体" w:cs="黑体"/>
          <w:b/>
          <w:sz w:val="24"/>
        </w:rPr>
        <w:t xml:space="preserve">3  术语 </w:t>
      </w:r>
      <w:r>
        <w:rPr>
          <w:rFonts w:hint="eastAsia" w:ascii="宋体" w:hAnsi="宋体" w:cs="黑体"/>
          <w:b/>
          <w:sz w:val="24"/>
          <w:lang w:eastAsia="zh-CN"/>
        </w:rPr>
        <w:tab/>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 xml:space="preserve">4  </w:t>
      </w:r>
      <w:r>
        <w:rPr>
          <w:rFonts w:hint="eastAsia" w:ascii="宋体" w:hAnsi="宋体" w:cs="黑体"/>
          <w:b/>
          <w:sz w:val="24"/>
        </w:rPr>
        <w:t>评审基本内容与方法</w:t>
      </w:r>
    </w:p>
    <w:p>
      <w:pPr>
        <w:tabs>
          <w:tab w:val="left" w:pos="2490"/>
        </w:tabs>
        <w:spacing w:line="480" w:lineRule="auto"/>
        <w:outlineLvl w:val="0"/>
        <w:rPr>
          <w:rFonts w:hint="eastAsia" w:ascii="宋体" w:hAnsi="宋体" w:cs="黑体"/>
          <w:b/>
          <w:sz w:val="24"/>
          <w:lang w:val="en-US" w:eastAsia="zh-CN"/>
        </w:rPr>
      </w:pPr>
      <w:r>
        <w:rPr>
          <w:rFonts w:hint="eastAsia" w:ascii="宋体" w:hAnsi="宋体" w:cs="黑体"/>
          <w:b/>
          <w:sz w:val="24"/>
          <w:lang w:val="en-US" w:eastAsia="zh-CN"/>
        </w:rPr>
        <w:t>4.1资源条件的评审</w:t>
      </w:r>
    </w:p>
    <w:p>
      <w:pPr>
        <w:spacing w:line="360" w:lineRule="auto"/>
        <w:ind w:firstLine="480" w:firstLineChars="200"/>
        <w:rPr>
          <w:rFonts w:ascii="宋体" w:hAnsi="宋体"/>
          <w:sz w:val="24"/>
        </w:rPr>
      </w:pPr>
      <w:r>
        <w:rPr>
          <w:rFonts w:hint="eastAsia" w:ascii="宋体" w:hAnsi="宋体"/>
          <w:sz w:val="24"/>
        </w:rPr>
        <w:t>鉴定评审组将对申请单位的资源条件进行评审，评审的内容包括：申请单位的法律地位、人员、仪器设备、场地与设施等。评审方法包括现场查看、查阅见证、交谈、观察所涉及领域的活动等。</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4</w:t>
      </w:r>
      <w:r>
        <w:rPr>
          <w:rFonts w:hint="eastAsia" w:ascii="宋体" w:hAnsi="宋体" w:cs="黑体"/>
          <w:b/>
          <w:sz w:val="24"/>
        </w:rPr>
        <w:t>.2质量管理体系的评审</w:t>
      </w:r>
    </w:p>
    <w:p>
      <w:pPr>
        <w:spacing w:line="360" w:lineRule="auto"/>
        <w:ind w:firstLine="480" w:firstLineChars="200"/>
        <w:rPr>
          <w:rFonts w:ascii="宋体" w:hAnsi="宋体"/>
          <w:sz w:val="24"/>
        </w:rPr>
      </w:pPr>
      <w:r>
        <w:rPr>
          <w:rFonts w:hint="eastAsia" w:ascii="宋体" w:hAnsi="宋体"/>
          <w:sz w:val="24"/>
        </w:rPr>
        <w:t>鉴定评审组将对申请单位的质量管理体系的建立与实施情况进行评审。通过查阅质量管理体系文件、实施见证、与申请单位沟通交流、与当地特种设备安全监督管理部门进行交流等方式，评审质量管理体系的建立与实施情况。</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4</w:t>
      </w:r>
      <w:r>
        <w:rPr>
          <w:rFonts w:hint="eastAsia" w:ascii="宋体" w:hAnsi="宋体" w:cs="黑体"/>
          <w:b/>
          <w:sz w:val="24"/>
        </w:rPr>
        <w:t>.3充装能力的评审</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.3.1充装能力评审方式选择:</w:t>
      </w:r>
    </w:p>
    <w:p>
      <w:pPr>
        <w:spacing w:line="360" w:lineRule="auto"/>
        <w:rPr>
          <w:rFonts w:ascii="宋体" w:hAnsi="宋体"/>
          <w:sz w:val="24"/>
        </w:rPr>
      </w:pPr>
      <w:r>
        <w:rPr>
          <w:rFonts w:hint="eastAsia" w:ascii="宋体" w:hAnsi="宋体"/>
          <w:sz w:val="24"/>
        </w:rPr>
        <w:t xml:space="preserve">    (1)对于延续核准的应采用充装记录、年度监督检查记录或跟踪充装过程评价方式；</w:t>
      </w:r>
    </w:p>
    <w:p>
      <w:pPr>
        <w:spacing w:line="360" w:lineRule="auto"/>
        <w:rPr>
          <w:rFonts w:ascii="宋体" w:hAnsi="宋体"/>
          <w:sz w:val="24"/>
        </w:rPr>
      </w:pPr>
      <w:r>
        <w:rPr>
          <w:rFonts w:hint="eastAsia" w:ascii="宋体" w:hAnsi="宋体"/>
          <w:sz w:val="24"/>
        </w:rPr>
        <w:t xml:space="preserve">    (2)对于</w:t>
      </w:r>
      <w:r>
        <w:rPr>
          <w:rFonts w:hint="eastAsia" w:asciiTheme="minorEastAsia" w:hAnsiTheme="minorEastAsia"/>
          <w:sz w:val="24"/>
          <w:szCs w:val="24"/>
        </w:rPr>
        <w:t>首次核准、增项和充装地址变更</w:t>
      </w:r>
      <w:r>
        <w:rPr>
          <w:rFonts w:hint="eastAsia" w:ascii="宋体" w:hAnsi="宋体"/>
          <w:sz w:val="24"/>
        </w:rPr>
        <w:t>核准的应采用跟踪充装过程或采信能力验证结果的评价方式。</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.3.2充装记录、年度监督检查记录评价</w:t>
      </w:r>
    </w:p>
    <w:p>
      <w:pPr>
        <w:spacing w:line="360" w:lineRule="auto"/>
        <w:rPr>
          <w:rFonts w:ascii="宋体" w:hAnsi="宋体"/>
          <w:sz w:val="24"/>
        </w:rPr>
      </w:pPr>
      <w:r>
        <w:rPr>
          <w:rFonts w:hint="eastAsia" w:ascii="宋体" w:hAnsi="宋体"/>
          <w:sz w:val="24"/>
        </w:rPr>
        <w:t xml:space="preserve">    当采用充装记录、年度监督检查记录评价方式时，申请单位应当准备近 4 年《充装记录》或者《年度监督检查记录》，由鉴定评审员随机抽查一定数量申请项目的充装技术资料（至少包括移动式压力容器充装前、后检查操作规程、移动式压力容器充装操作规程、充装记录、年度监督检查记录和年度监督检查整改材料）进行查阅，必要时鉴定评审员应当对申请单位的充装、检查人员及关键岗位人员进行技术水平与管理能力的考核。</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.3.2跟踪充装过程评价</w:t>
      </w:r>
    </w:p>
    <w:p>
      <w:pPr>
        <w:spacing w:line="360" w:lineRule="auto"/>
        <w:rPr>
          <w:rFonts w:ascii="宋体" w:hAnsi="宋体"/>
          <w:sz w:val="24"/>
        </w:rPr>
      </w:pPr>
      <w:r>
        <w:rPr>
          <w:rFonts w:hint="eastAsia" w:ascii="宋体" w:hAnsi="宋体"/>
          <w:sz w:val="24"/>
        </w:rPr>
        <w:t xml:space="preserve">    对于首次核准和增项核准的申请单位应当准备1-3台与申请项目相一致的移动式压力容器，在现场鉴定评审期间进行充装，鉴定评审人员进行现场能力确认，考核其充装工作是否符合工艺规程，各环节是否符合相应标准规定；或者提供能力验证结果，由鉴定评审员查验采信。</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 xml:space="preserve">5  </w:t>
      </w:r>
      <w:r>
        <w:rPr>
          <w:rFonts w:hint="eastAsia" w:ascii="宋体" w:hAnsi="宋体" w:cs="黑体"/>
          <w:b/>
          <w:sz w:val="24"/>
        </w:rPr>
        <w:t>需要提供的满足核准条件的相关见证</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5</w:t>
      </w:r>
      <w:r>
        <w:rPr>
          <w:rFonts w:hint="eastAsia" w:ascii="宋体" w:hAnsi="宋体" w:cs="黑体"/>
          <w:b/>
          <w:sz w:val="24"/>
        </w:rPr>
        <w:t>.1资源条件方面</w:t>
      </w:r>
    </w:p>
    <w:p>
      <w:pPr>
        <w:spacing w:line="360" w:lineRule="auto"/>
        <w:rPr>
          <w:rFonts w:ascii="宋体" w:hAnsi="宋体"/>
          <w:sz w:val="24"/>
        </w:rPr>
      </w:pPr>
      <w:r>
        <w:rPr>
          <w:rFonts w:hint="eastAsia" w:ascii="宋体" w:hAnsi="宋体"/>
          <w:sz w:val="24"/>
        </w:rPr>
        <w:t xml:space="preserve">    资源条件评审需要提供的见证材料及要求见表1：</w:t>
      </w:r>
    </w:p>
    <w:p>
      <w:pPr>
        <w:spacing w:line="360" w:lineRule="auto"/>
        <w:jc w:val="center"/>
        <w:rPr>
          <w:rFonts w:ascii="宋体" w:hAnsi="宋体"/>
          <w:b/>
          <w:sz w:val="24"/>
        </w:rPr>
      </w:pPr>
      <w:r>
        <w:rPr>
          <w:rFonts w:hint="eastAsia" w:ascii="宋体" w:hAnsi="宋体"/>
          <w:b/>
          <w:sz w:val="24"/>
        </w:rPr>
        <w:t>表1资源条件评审见证材料要求</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709"/>
        <w:gridCol w:w="4252"/>
        <w:gridCol w:w="1701"/>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817" w:type="dxa"/>
            <w:vAlign w:val="center"/>
          </w:tcPr>
          <w:p>
            <w:pPr>
              <w:jc w:val="center"/>
              <w:rPr>
                <w:rFonts w:ascii="宋体" w:hAnsi="宋体"/>
                <w:szCs w:val="21"/>
              </w:rPr>
            </w:pPr>
            <w:r>
              <w:rPr>
                <w:rFonts w:hint="eastAsia" w:ascii="宋体" w:hAnsi="宋体"/>
                <w:szCs w:val="21"/>
              </w:rPr>
              <w:t>序号</w:t>
            </w:r>
          </w:p>
        </w:tc>
        <w:tc>
          <w:tcPr>
            <w:tcW w:w="709" w:type="dxa"/>
            <w:tcBorders>
              <w:right w:val="single" w:color="auto" w:sz="4" w:space="0"/>
            </w:tcBorders>
            <w:vAlign w:val="center"/>
          </w:tcPr>
          <w:p>
            <w:pPr>
              <w:jc w:val="center"/>
              <w:rPr>
                <w:rFonts w:ascii="宋体" w:hAnsi="宋体"/>
                <w:szCs w:val="21"/>
              </w:rPr>
            </w:pPr>
            <w:r>
              <w:rPr>
                <w:rFonts w:hint="eastAsia" w:ascii="宋体" w:hAnsi="宋体"/>
                <w:szCs w:val="21"/>
              </w:rPr>
              <w:t>评审项目</w:t>
            </w:r>
          </w:p>
        </w:tc>
        <w:tc>
          <w:tcPr>
            <w:tcW w:w="4252" w:type="dxa"/>
            <w:tcBorders>
              <w:left w:val="single" w:color="auto" w:sz="4" w:space="0"/>
            </w:tcBorders>
            <w:vAlign w:val="center"/>
          </w:tcPr>
          <w:p>
            <w:pPr>
              <w:jc w:val="center"/>
              <w:rPr>
                <w:rFonts w:ascii="宋体" w:hAnsi="宋体"/>
                <w:szCs w:val="21"/>
              </w:rPr>
            </w:pPr>
            <w:r>
              <w:rPr>
                <w:rFonts w:hint="eastAsia" w:ascii="宋体" w:hAnsi="宋体"/>
                <w:szCs w:val="21"/>
              </w:rPr>
              <w:t>评审内容与要求</w:t>
            </w:r>
          </w:p>
        </w:tc>
        <w:tc>
          <w:tcPr>
            <w:tcW w:w="1701" w:type="dxa"/>
            <w:vAlign w:val="center"/>
          </w:tcPr>
          <w:p>
            <w:pPr>
              <w:jc w:val="center"/>
              <w:rPr>
                <w:rFonts w:ascii="宋体" w:hAnsi="宋体"/>
                <w:szCs w:val="21"/>
              </w:rPr>
            </w:pPr>
            <w:r>
              <w:rPr>
                <w:rFonts w:hint="eastAsia" w:ascii="宋体" w:hAnsi="宋体"/>
                <w:szCs w:val="21"/>
              </w:rPr>
              <w:t>提供评审验证的相关见证</w:t>
            </w:r>
          </w:p>
        </w:tc>
        <w:tc>
          <w:tcPr>
            <w:tcW w:w="1043" w:type="dxa"/>
            <w:vAlign w:val="center"/>
          </w:tcPr>
          <w:p>
            <w:pPr>
              <w:jc w:val="center"/>
              <w:rPr>
                <w:rFonts w:ascii="宋体" w:hAnsi="宋体"/>
                <w:szCs w:val="21"/>
              </w:rPr>
            </w:pPr>
            <w:r>
              <w:rPr>
                <w:rFonts w:hint="eastAsia" w:ascii="宋体" w:hAnsi="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1</w:t>
            </w:r>
          </w:p>
        </w:tc>
        <w:tc>
          <w:tcPr>
            <w:tcW w:w="70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法律地位</w:t>
            </w:r>
          </w:p>
        </w:tc>
        <w:tc>
          <w:tcPr>
            <w:tcW w:w="4252" w:type="dxa"/>
            <w:tcBorders>
              <w:left w:val="single" w:color="auto" w:sz="4" w:space="0"/>
            </w:tcBorders>
            <w:vAlign w:val="center"/>
          </w:tcPr>
          <w:p>
            <w:pPr>
              <w:jc w:val="center"/>
              <w:rPr>
                <w:rFonts w:ascii="宋体" w:hAnsi="宋体"/>
                <w:szCs w:val="21"/>
              </w:rPr>
            </w:pPr>
            <w:r>
              <w:rPr>
                <w:rFonts w:hint="eastAsia" w:ascii="宋体" w:hAnsi="宋体"/>
                <w:szCs w:val="21"/>
              </w:rPr>
              <w:t>具有法人资格</w:t>
            </w:r>
          </w:p>
        </w:tc>
        <w:tc>
          <w:tcPr>
            <w:tcW w:w="1701" w:type="dxa"/>
            <w:vAlign w:val="center"/>
          </w:tcPr>
          <w:p>
            <w:pPr>
              <w:jc w:val="center"/>
              <w:rPr>
                <w:rFonts w:ascii="宋体" w:hAnsi="宋体"/>
                <w:szCs w:val="21"/>
              </w:rPr>
            </w:pPr>
            <w:r>
              <w:rPr>
                <w:rFonts w:hint="eastAsia" w:ascii="宋体" w:hAnsi="宋体"/>
                <w:szCs w:val="21"/>
              </w:rPr>
              <w:t>法人证书/营业执照</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ascii="宋体" w:hAnsi="宋体"/>
                <w:szCs w:val="21"/>
              </w:rPr>
            </w:pPr>
            <w:r>
              <w:rPr>
                <w:rFonts w:hint="eastAsia" w:ascii="宋体" w:hAnsi="宋体"/>
                <w:szCs w:val="21"/>
              </w:rPr>
              <w:t>2</w:t>
            </w:r>
          </w:p>
        </w:tc>
        <w:tc>
          <w:tcPr>
            <w:tcW w:w="709" w:type="dxa"/>
            <w:vMerge w:val="restart"/>
            <w:tcBorders>
              <w:right w:val="single" w:color="auto" w:sz="4" w:space="0"/>
            </w:tcBorders>
            <w:vAlign w:val="center"/>
          </w:tcPr>
          <w:p>
            <w:pPr>
              <w:jc w:val="center"/>
              <w:rPr>
                <w:rFonts w:ascii="宋体" w:hAnsi="宋体"/>
                <w:szCs w:val="21"/>
              </w:rPr>
            </w:pPr>
            <w:r>
              <w:rPr>
                <w:rFonts w:hint="eastAsia" w:ascii="宋体" w:hAnsi="宋体"/>
                <w:szCs w:val="21"/>
              </w:rPr>
              <w:t>充装场所</w:t>
            </w:r>
          </w:p>
        </w:tc>
        <w:tc>
          <w:tcPr>
            <w:tcW w:w="4252" w:type="dxa"/>
            <w:tcBorders>
              <w:left w:val="single" w:color="auto" w:sz="4" w:space="0"/>
            </w:tcBorders>
            <w:vAlign w:val="center"/>
          </w:tcPr>
          <w:p>
            <w:r>
              <w:rPr>
                <w:rFonts w:hint="eastAsia"/>
                <w:lang w:val="en-US" w:eastAsia="zh-CN"/>
              </w:rPr>
              <w:t>1、</w:t>
            </w:r>
            <w:r>
              <w:rPr>
                <w:rFonts w:hint="eastAsia"/>
              </w:rPr>
              <w:t>充装单位取得政府规划、消防等有关部门的批准，符合相关法律、法规、规章、安全技术规范及相关标准的要求；</w:t>
            </w:r>
          </w:p>
          <w:p>
            <w:r>
              <w:rPr>
                <w:rFonts w:hint="eastAsia"/>
                <w:lang w:val="en-US" w:eastAsia="zh-CN"/>
              </w:rPr>
              <w:t>2、</w:t>
            </w:r>
            <w:r>
              <w:rPr>
                <w:rFonts w:hint="eastAsia"/>
              </w:rPr>
              <w:t>具有专用的移动式压力容器充装前后安全检查的场地，安全检查场地应当设置在充装站区内，并且有必要的维修、安全设施和应急设备；</w:t>
            </w:r>
          </w:p>
          <w:p>
            <w:r>
              <w:rPr>
                <w:rFonts w:hint="eastAsia"/>
                <w:lang w:val="en-US" w:eastAsia="zh-CN"/>
              </w:rPr>
              <w:t>3、</w:t>
            </w:r>
            <w:r>
              <w:rPr>
                <w:rFonts w:hint="eastAsia"/>
              </w:rPr>
              <w:t>具有专用的移动式压力容器充装场地；</w:t>
            </w:r>
          </w:p>
          <w:p>
            <w:r>
              <w:rPr>
                <w:rFonts w:hint="eastAsia"/>
                <w:lang w:val="en-US" w:eastAsia="zh-CN"/>
              </w:rPr>
              <w:t>4、</w:t>
            </w:r>
            <w:r>
              <w:rPr>
                <w:rFonts w:hint="eastAsia"/>
              </w:rPr>
              <w:t>充装场地有良好的通风条件或者设有足够能力的换气通风装置，以避免形成危险的爆炸性混合物或者毒性气体，出现富氧或者缺氧等环境；根据充装气体的危险特性，还需要增加如充装场地环境温度控制等安全措施；</w:t>
            </w:r>
          </w:p>
          <w:p>
            <w:r>
              <w:rPr>
                <w:rFonts w:hint="eastAsia"/>
                <w:lang w:val="en-US" w:eastAsia="zh-CN"/>
              </w:rPr>
              <w:t>5、</w:t>
            </w:r>
            <w:r>
              <w:rPr>
                <w:rFonts w:hint="eastAsia"/>
              </w:rPr>
              <w:t>设置安全出口，周围设置安全标志，安全标志符合GB 2894—2008《安全标志及其使用导则》的有关规定。</w:t>
            </w:r>
          </w:p>
          <w:p>
            <w:pPr>
              <w:pStyle w:val="2"/>
              <w:rPr>
                <w:rFonts w:hint="default"/>
              </w:rPr>
            </w:pPr>
          </w:p>
        </w:tc>
        <w:tc>
          <w:tcPr>
            <w:tcW w:w="1701" w:type="dxa"/>
            <w:vMerge w:val="restart"/>
            <w:vAlign w:val="center"/>
          </w:tcPr>
          <w:p>
            <w:pPr>
              <w:rPr>
                <w:rFonts w:hint="eastAsia" w:eastAsia="宋体"/>
                <w:lang w:eastAsia="zh-CN"/>
              </w:rPr>
            </w:pPr>
            <w:r>
              <w:rPr>
                <w:rFonts w:hint="eastAsia"/>
              </w:rPr>
              <w:t>1、规划许可证、立项批复等</w:t>
            </w:r>
            <w:r>
              <w:rPr>
                <w:rFonts w:hint="eastAsia"/>
                <w:lang w:eastAsia="zh-CN"/>
              </w:rPr>
              <w:t>；</w:t>
            </w:r>
          </w:p>
          <w:p>
            <w:pPr>
              <w:rPr>
                <w:rFonts w:hint="eastAsia" w:eastAsia="宋体"/>
                <w:lang w:eastAsia="zh-CN"/>
              </w:rPr>
            </w:pPr>
            <w:r>
              <w:rPr>
                <w:rFonts w:hint="eastAsia"/>
              </w:rPr>
              <w:t>2、危化品经营许可证</w:t>
            </w:r>
            <w:r>
              <w:rPr>
                <w:rFonts w:hint="eastAsia"/>
                <w:lang w:eastAsia="zh-CN"/>
              </w:rPr>
              <w:t>；</w:t>
            </w:r>
          </w:p>
          <w:p>
            <w:pPr>
              <w:rPr>
                <w:rFonts w:hint="eastAsia" w:eastAsia="宋体"/>
                <w:lang w:eastAsia="zh-CN"/>
              </w:rPr>
            </w:pPr>
            <w:r>
              <w:rPr>
                <w:rFonts w:hint="eastAsia"/>
              </w:rPr>
              <w:t>3、消防验收意见书或消防年度检查</w:t>
            </w:r>
            <w:r>
              <w:rPr>
                <w:rFonts w:hint="eastAsia"/>
                <w:lang w:eastAsia="zh-CN"/>
              </w:rPr>
              <w:t>；</w:t>
            </w:r>
          </w:p>
          <w:p>
            <w:pPr>
              <w:rPr>
                <w:rFonts w:hint="eastAsia" w:eastAsia="宋体"/>
                <w:lang w:eastAsia="zh-CN"/>
              </w:rPr>
            </w:pPr>
            <w:r>
              <w:rPr>
                <w:rFonts w:hint="eastAsia"/>
              </w:rPr>
              <w:t>4、环保部门出具的意见书或环评报告</w:t>
            </w:r>
            <w:r>
              <w:rPr>
                <w:rFonts w:hint="eastAsia"/>
                <w:lang w:eastAsia="zh-CN"/>
              </w:rPr>
              <w:t>；</w:t>
            </w:r>
          </w:p>
          <w:p>
            <w:pPr>
              <w:rPr>
                <w:rFonts w:hint="eastAsia" w:eastAsia="宋体"/>
                <w:lang w:eastAsia="zh-CN"/>
              </w:rPr>
            </w:pPr>
            <w:r>
              <w:rPr>
                <w:rFonts w:hint="eastAsia"/>
              </w:rPr>
              <w:t>5、设计文件及图纸</w:t>
            </w:r>
            <w:r>
              <w:rPr>
                <w:rFonts w:hint="eastAsia"/>
                <w:lang w:eastAsia="zh-CN"/>
              </w:rPr>
              <w:t>。</w:t>
            </w:r>
          </w:p>
        </w:tc>
        <w:tc>
          <w:tcPr>
            <w:tcW w:w="1043" w:type="dxa"/>
            <w:vMerge w:val="restart"/>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right w:val="single" w:color="auto" w:sz="4" w:space="0"/>
            </w:tcBorders>
            <w:vAlign w:val="center"/>
          </w:tcPr>
          <w:p>
            <w:pPr>
              <w:jc w:val="center"/>
              <w:rPr>
                <w:rFonts w:ascii="宋体" w:hAnsi="宋体"/>
                <w:szCs w:val="21"/>
              </w:rPr>
            </w:pPr>
          </w:p>
        </w:tc>
        <w:tc>
          <w:tcPr>
            <w:tcW w:w="4252" w:type="dxa"/>
            <w:tcBorders>
              <w:left w:val="single" w:color="auto" w:sz="4" w:space="0"/>
            </w:tcBorders>
            <w:vAlign w:val="center"/>
          </w:tcPr>
          <w:p>
            <w:r>
              <w:rPr>
                <w:rFonts w:hint="eastAsia"/>
              </w:rPr>
              <w:t>铁路罐车充装场地除满足上述基本条件外，还应当符合以下专项条件要求：</w:t>
            </w:r>
          </w:p>
          <w:p>
            <w:r>
              <w:rPr>
                <w:rFonts w:hint="eastAsia"/>
                <w:lang w:val="en-US" w:eastAsia="zh-CN"/>
              </w:rPr>
              <w:t>1、</w:t>
            </w:r>
            <w:r>
              <w:rPr>
                <w:rFonts w:hint="eastAsia"/>
              </w:rPr>
              <w:t>具有专用铁路装卸线，其设计、建设与运行除符合有关规范及相关标准外， 还需要符合国务院铁路运输主管部门的有关规定；</w:t>
            </w:r>
          </w:p>
          <w:p>
            <w:r>
              <w:rPr>
                <w:rFonts w:hint="eastAsia"/>
                <w:lang w:val="en-US" w:eastAsia="zh-CN"/>
              </w:rPr>
              <w:t>2、</w:t>
            </w:r>
            <w:r>
              <w:rPr>
                <w:rFonts w:hint="eastAsia"/>
              </w:rPr>
              <w:t>分别设置充装线和行走线，充装栈台应当装设安全扶梯；</w:t>
            </w:r>
          </w:p>
          <w:p>
            <w:r>
              <w:rPr>
                <w:rFonts w:hint="eastAsia"/>
                <w:lang w:val="en-US" w:eastAsia="zh-CN"/>
              </w:rPr>
              <w:t>3、</w:t>
            </w:r>
            <w:r>
              <w:rPr>
                <w:rFonts w:hint="eastAsia"/>
              </w:rPr>
              <w:t>易燃、易爆介质充装单位，划定危险区域边界线，危险区域内应当具有防爆措施，非防爆设备不得进入危险区域。</w:t>
            </w:r>
          </w:p>
        </w:tc>
        <w:tc>
          <w:tcPr>
            <w:tcW w:w="1701" w:type="dxa"/>
            <w:vMerge w:val="continue"/>
            <w:vAlign w:val="center"/>
          </w:tcPr>
          <w:p/>
        </w:tc>
        <w:tc>
          <w:tcPr>
            <w:tcW w:w="1043" w:type="dxa"/>
            <w:vMerge w:val="continue"/>
            <w:vAlign w:val="center"/>
          </w:tcPr>
          <w:p>
            <w:pPr>
              <w:jc w:val="center"/>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bottom w:val="single" w:color="auto" w:sz="4" w:space="0"/>
              <w:right w:val="single" w:color="auto" w:sz="4" w:space="0"/>
            </w:tcBorders>
            <w:vAlign w:val="center"/>
          </w:tcPr>
          <w:p>
            <w:pPr>
              <w:jc w:val="center"/>
              <w:rPr>
                <w:rFonts w:ascii="宋体" w:hAnsi="宋体"/>
                <w:szCs w:val="21"/>
              </w:rPr>
            </w:pPr>
          </w:p>
        </w:tc>
        <w:tc>
          <w:tcPr>
            <w:tcW w:w="4252" w:type="dxa"/>
            <w:tcBorders>
              <w:left w:val="single" w:color="auto" w:sz="4" w:space="0"/>
            </w:tcBorders>
            <w:vAlign w:val="center"/>
          </w:tcPr>
          <w:p>
            <w:r>
              <w:rPr>
                <w:rFonts w:hint="eastAsia"/>
              </w:rPr>
              <w:t>汽车罐车、罐式集装箱、长管拖车和管束式集装箱充装场地除满足上述基本条件外，还应当符合以下专项条件要求：</w:t>
            </w:r>
          </w:p>
          <w:p>
            <w:r>
              <w:rPr>
                <w:rFonts w:hint="eastAsia"/>
                <w:lang w:val="en-US" w:eastAsia="zh-CN"/>
              </w:rPr>
              <w:t>1、</w:t>
            </w:r>
            <w:r>
              <w:rPr>
                <w:rFonts w:hint="eastAsia"/>
              </w:rPr>
              <w:t>能够满足车辆回转半径和停靠位置的要求；</w:t>
            </w:r>
          </w:p>
          <w:p>
            <w:r>
              <w:rPr>
                <w:rFonts w:hint="eastAsia"/>
                <w:lang w:val="en-US" w:eastAsia="zh-CN"/>
              </w:rPr>
              <w:t>2、</w:t>
            </w:r>
            <w:r>
              <w:rPr>
                <w:rFonts w:hint="eastAsia"/>
              </w:rPr>
              <w:t>充装场地除有车辆的正常通道外，还需要至少 1条应急通道；</w:t>
            </w:r>
          </w:p>
          <w:p>
            <w:r>
              <w:rPr>
                <w:rFonts w:hint="eastAsia"/>
                <w:lang w:val="en-US" w:eastAsia="zh-CN"/>
              </w:rPr>
              <w:t>3、</w:t>
            </w:r>
            <w:r>
              <w:rPr>
                <w:rFonts w:hint="eastAsia"/>
              </w:rPr>
              <w:t>易燃、易爆介质充装场地与介质储存区之间，以及充装场地与机房、泵房之间的防火间距和隔断应当符合消防安全的要求。</w:t>
            </w:r>
          </w:p>
        </w:tc>
        <w:tc>
          <w:tcPr>
            <w:tcW w:w="1701" w:type="dxa"/>
            <w:vMerge w:val="continue"/>
            <w:vAlign w:val="center"/>
          </w:tcPr>
          <w:p/>
        </w:tc>
        <w:tc>
          <w:tcPr>
            <w:tcW w:w="1043" w:type="dxa"/>
            <w:vMerge w:val="continue"/>
            <w:vAlign w:val="center"/>
          </w:tcPr>
          <w:p>
            <w:pPr>
              <w:jc w:val="center"/>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ascii="宋体" w:hAnsi="宋体"/>
                <w:szCs w:val="21"/>
              </w:rPr>
            </w:pPr>
            <w:r>
              <w:rPr>
                <w:rFonts w:hint="eastAsia" w:ascii="宋体" w:hAnsi="宋体"/>
                <w:szCs w:val="21"/>
              </w:rPr>
              <w:t>3</w:t>
            </w:r>
          </w:p>
        </w:tc>
        <w:tc>
          <w:tcPr>
            <w:tcW w:w="709" w:type="dxa"/>
            <w:vMerge w:val="restart"/>
            <w:tcBorders>
              <w:right w:val="single" w:color="auto" w:sz="4" w:space="0"/>
            </w:tcBorders>
            <w:vAlign w:val="center"/>
          </w:tcPr>
          <w:p>
            <w:pPr>
              <w:jc w:val="center"/>
              <w:rPr>
                <w:rFonts w:ascii="宋体" w:hAnsi="宋体"/>
                <w:szCs w:val="21"/>
              </w:rPr>
            </w:pPr>
            <w:r>
              <w:rPr>
                <w:rFonts w:hint="eastAsia" w:ascii="宋体" w:hAnsi="宋体" w:cs="宋体"/>
                <w:sz w:val="20"/>
              </w:rPr>
              <w:t>充装工艺与设备</w:t>
            </w:r>
          </w:p>
        </w:tc>
        <w:tc>
          <w:tcPr>
            <w:tcW w:w="4252" w:type="dxa"/>
            <w:tcBorders>
              <w:left w:val="single" w:color="auto" w:sz="4" w:space="0"/>
            </w:tcBorders>
            <w:vAlign w:val="center"/>
          </w:tcPr>
          <w:p>
            <w:r>
              <w:rPr>
                <w:rFonts w:hint="eastAsia"/>
                <w:lang w:val="en-US" w:eastAsia="zh-CN"/>
              </w:rPr>
              <w:t>1、</w:t>
            </w:r>
            <w:r>
              <w:rPr>
                <w:rFonts w:hint="eastAsia"/>
              </w:rPr>
              <w:t>充装系统应当调试合格；</w:t>
            </w:r>
          </w:p>
          <w:p>
            <w:r>
              <w:rPr>
                <w:rFonts w:hint="eastAsia"/>
                <w:lang w:val="en-US" w:eastAsia="zh-CN"/>
              </w:rPr>
              <w:t>2、</w:t>
            </w:r>
            <w:r>
              <w:rPr>
                <w:rFonts w:hint="eastAsia"/>
              </w:rPr>
              <w:t>储罐应当设置防超装(超压)、超限装置或者其报警装置；</w:t>
            </w:r>
          </w:p>
          <w:p>
            <w:r>
              <w:rPr>
                <w:rFonts w:hint="eastAsia"/>
                <w:lang w:val="en-US" w:eastAsia="zh-CN"/>
              </w:rPr>
              <w:t>3、</w:t>
            </w:r>
            <w:r>
              <w:rPr>
                <w:rFonts w:hint="eastAsia"/>
              </w:rPr>
              <w:t>具备复核充装量[介质为高(低)压液化气体、冷冻液化气体、液体]或者充装压力(介质为压缩气体)的能力与装置；</w:t>
            </w:r>
          </w:p>
          <w:p>
            <w:r>
              <w:rPr>
                <w:rFonts w:hint="eastAsia"/>
                <w:lang w:val="en-US" w:eastAsia="zh-CN"/>
              </w:rPr>
              <w:t>4、</w:t>
            </w:r>
            <w:r>
              <w:rPr>
                <w:rFonts w:hint="eastAsia"/>
              </w:rPr>
              <w:t>具有对超装移动式压力容器进行有效处理的设施；</w:t>
            </w:r>
          </w:p>
          <w:p>
            <w:r>
              <w:rPr>
                <w:rFonts w:hint="eastAsia"/>
                <w:lang w:val="en-US" w:eastAsia="zh-CN"/>
              </w:rPr>
              <w:t>5、</w:t>
            </w:r>
            <w:r>
              <w:rPr>
                <w:rFonts w:hint="eastAsia"/>
              </w:rPr>
              <w:t>充装易燃、易爆、有毒介质的充装区域，应当具有监视录像系统；</w:t>
            </w:r>
          </w:p>
          <w:p>
            <w:r>
              <w:rPr>
                <w:rFonts w:hint="eastAsia"/>
                <w:lang w:val="en-US" w:eastAsia="zh-CN"/>
              </w:rPr>
              <w:t>6、</w:t>
            </w:r>
            <w:r>
              <w:rPr>
                <w:rFonts w:hint="eastAsia"/>
              </w:rPr>
              <w:t>充装系统应当具有紧急切断、紧急停车等应急功能，紧急切断、紧急停车的远控系统，应当设置在有人场所(如值班室)的安全位置；</w:t>
            </w:r>
          </w:p>
          <w:p>
            <w:r>
              <w:rPr>
                <w:rFonts w:hint="eastAsia"/>
                <w:lang w:val="en-US" w:eastAsia="zh-CN"/>
              </w:rPr>
              <w:t>7、</w:t>
            </w:r>
            <w:r>
              <w:rPr>
                <w:rFonts w:hint="eastAsia"/>
              </w:rPr>
              <w:t>易燃、易爆介质有回火可能的管道系统，应当装设防回火装置；</w:t>
            </w:r>
          </w:p>
          <w:p>
            <w:r>
              <w:rPr>
                <w:rFonts w:hint="eastAsia"/>
                <w:lang w:val="en-US" w:eastAsia="zh-CN"/>
              </w:rPr>
              <w:t>8、</w:t>
            </w:r>
            <w:r>
              <w:rPr>
                <w:rFonts w:hint="eastAsia"/>
              </w:rPr>
              <w:t>充装易燃、易爆和毒性程度为中度危害以上介质的管路系统的液相管道和气相管道，应当装设紧急切断装置；</w:t>
            </w:r>
          </w:p>
          <w:p>
            <w:r>
              <w:rPr>
                <w:rFonts w:hint="eastAsia"/>
                <w:lang w:val="en-US" w:eastAsia="zh-CN"/>
              </w:rPr>
              <w:t>9、</w:t>
            </w:r>
            <w:r>
              <w:rPr>
                <w:rFonts w:hint="eastAsia"/>
              </w:rPr>
              <w:t>充装易燃、易爆介质或者有毒介质，应当在安全泄放装置出口装设导管，将排放介质引导到安全地点妥善处理；</w:t>
            </w:r>
          </w:p>
          <w:p>
            <w:r>
              <w:rPr>
                <w:rFonts w:hint="eastAsia"/>
                <w:lang w:val="en-US" w:eastAsia="zh-CN"/>
              </w:rPr>
              <w:t>10、</w:t>
            </w:r>
            <w:r>
              <w:rPr>
                <w:rFonts w:hint="eastAsia"/>
              </w:rPr>
              <w:t>充装有毒介质，应当装设泄漏介质处理装置；液氯充装单位应当配备碱液喷淋装置、液氨充装单位应当配备水喷淋装置等；</w:t>
            </w:r>
          </w:p>
          <w:p>
            <w:r>
              <w:rPr>
                <w:rFonts w:hint="eastAsia"/>
                <w:lang w:val="en-US" w:eastAsia="zh-CN"/>
              </w:rPr>
              <w:t>11、</w:t>
            </w:r>
            <w:r>
              <w:rPr>
                <w:rFonts w:hint="eastAsia"/>
              </w:rPr>
              <w:t>充装易燃、易爆介质，应当有符合消防要求的水源和消防设施；</w:t>
            </w:r>
          </w:p>
          <w:p>
            <w:r>
              <w:rPr>
                <w:rFonts w:hint="eastAsia"/>
                <w:lang w:val="en-US" w:eastAsia="zh-CN"/>
              </w:rPr>
              <w:t>12、</w:t>
            </w:r>
            <w:r>
              <w:rPr>
                <w:rFonts w:hint="eastAsia"/>
              </w:rPr>
              <w:t>阀门之间的液相封闭管段，应当装设管道安全泄放装置。</w:t>
            </w:r>
          </w:p>
        </w:tc>
        <w:tc>
          <w:tcPr>
            <w:tcW w:w="1701" w:type="dxa"/>
            <w:vAlign w:val="center"/>
          </w:tcPr>
          <w:p>
            <w:r>
              <w:rPr>
                <w:rFonts w:hint="eastAsia"/>
              </w:rPr>
              <w:t>1、充装系统安装调试记录；</w:t>
            </w:r>
          </w:p>
          <w:p>
            <w:pPr>
              <w:rPr>
                <w:rFonts w:hint="eastAsia" w:eastAsia="宋体"/>
                <w:lang w:eastAsia="zh-CN"/>
              </w:rPr>
            </w:pPr>
            <w:r>
              <w:rPr>
                <w:rFonts w:hint="eastAsia"/>
              </w:rPr>
              <w:t>2、超装(超压)、超限装置或者其报警装置的购置证明材料、合格证、说明书</w:t>
            </w:r>
            <w:r>
              <w:rPr>
                <w:rFonts w:hint="eastAsia"/>
                <w:lang w:eastAsia="zh-CN"/>
              </w:rPr>
              <w:t>；</w:t>
            </w:r>
          </w:p>
          <w:p>
            <w:r>
              <w:rPr>
                <w:rFonts w:hint="eastAsia"/>
              </w:rPr>
              <w:t>3、复核充装量购置证明材料、合格证、说明书；</w:t>
            </w:r>
          </w:p>
          <w:p>
            <w:r>
              <w:rPr>
                <w:rFonts w:hint="eastAsia"/>
                <w:lang w:val="en-US" w:eastAsia="zh-CN"/>
              </w:rPr>
              <w:t>4</w:t>
            </w:r>
            <w:r>
              <w:rPr>
                <w:rFonts w:hint="eastAsia"/>
              </w:rPr>
              <w:t>、监视录像系统购置证明材料、合格证、说明书；</w:t>
            </w:r>
          </w:p>
          <w:p>
            <w:r>
              <w:rPr>
                <w:rFonts w:hint="eastAsia"/>
                <w:lang w:val="en-US" w:eastAsia="zh-CN"/>
              </w:rPr>
              <w:t>5</w:t>
            </w:r>
            <w:r>
              <w:rPr>
                <w:rFonts w:hint="eastAsia"/>
              </w:rPr>
              <w:t>、远控系统购置证明材料、合格证、说明书；</w:t>
            </w:r>
          </w:p>
          <w:p>
            <w:r>
              <w:rPr>
                <w:rFonts w:hint="eastAsia"/>
                <w:lang w:val="en-US" w:eastAsia="zh-CN"/>
              </w:rPr>
              <w:t>6</w:t>
            </w:r>
            <w:r>
              <w:rPr>
                <w:rFonts w:hint="eastAsia"/>
              </w:rPr>
              <w:t>、防回火装置购置证明材料、合格证、说明书；</w:t>
            </w:r>
          </w:p>
          <w:p>
            <w:r>
              <w:rPr>
                <w:rFonts w:hint="eastAsia"/>
                <w:lang w:val="en-US" w:eastAsia="zh-CN"/>
              </w:rPr>
              <w:t>7</w:t>
            </w:r>
            <w:r>
              <w:rPr>
                <w:rFonts w:hint="eastAsia"/>
              </w:rPr>
              <w:t>、紧急切断装置购置证明材料、合格证、说明书；</w:t>
            </w:r>
          </w:p>
          <w:p>
            <w:r>
              <w:rPr>
                <w:rFonts w:hint="eastAsia"/>
                <w:lang w:val="en-US" w:eastAsia="zh-CN"/>
              </w:rPr>
              <w:t>8</w:t>
            </w:r>
            <w:r>
              <w:rPr>
                <w:rFonts w:hint="eastAsia"/>
              </w:rPr>
              <w:t>、喷淋装置的购置或安装的证明材料；</w:t>
            </w:r>
          </w:p>
          <w:p>
            <w:r>
              <w:rPr>
                <w:rFonts w:hint="eastAsia"/>
                <w:lang w:val="en-US" w:eastAsia="zh-CN"/>
              </w:rPr>
              <w:t>9</w:t>
            </w:r>
            <w:r>
              <w:rPr>
                <w:rFonts w:hint="eastAsia"/>
              </w:rPr>
              <w:t>、水源和消防设施的设计图纸和验收记录；</w:t>
            </w:r>
          </w:p>
          <w:p>
            <w:pPr>
              <w:rPr>
                <w:rFonts w:hint="eastAsia" w:eastAsia="宋体"/>
                <w:lang w:val="en-US" w:eastAsia="zh-CN"/>
              </w:rPr>
            </w:pPr>
            <w:r>
              <w:rPr>
                <w:rFonts w:hint="eastAsia"/>
              </w:rPr>
              <w:t>1</w:t>
            </w:r>
            <w:r>
              <w:rPr>
                <w:rFonts w:hint="eastAsia"/>
                <w:lang w:val="en-US" w:eastAsia="zh-CN"/>
              </w:rPr>
              <w:t>0</w:t>
            </w:r>
            <w:r>
              <w:rPr>
                <w:rFonts w:hint="eastAsia"/>
              </w:rPr>
              <w:t>、管道安全泄放装置购置证明材料、合格证、说明书</w:t>
            </w:r>
            <w:r>
              <w:rPr>
                <w:rFonts w:hint="eastAsia"/>
                <w:lang w:eastAsia="zh-CN"/>
              </w:rPr>
              <w:t>。</w:t>
            </w:r>
          </w:p>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bottom w:val="single" w:color="auto" w:sz="4" w:space="0"/>
              <w:right w:val="single" w:color="auto" w:sz="4" w:space="0"/>
            </w:tcBorders>
            <w:vAlign w:val="center"/>
          </w:tcPr>
          <w:p>
            <w:pPr>
              <w:jc w:val="center"/>
              <w:rPr>
                <w:rFonts w:ascii="宋体" w:hAnsi="宋体" w:cs="宋体"/>
                <w:sz w:val="20"/>
              </w:rPr>
            </w:pPr>
          </w:p>
        </w:tc>
        <w:tc>
          <w:tcPr>
            <w:tcW w:w="4252" w:type="dxa"/>
            <w:tcBorders>
              <w:left w:val="single" w:color="auto" w:sz="4" w:space="0"/>
            </w:tcBorders>
            <w:vAlign w:val="center"/>
          </w:tcPr>
          <w:p>
            <w:r>
              <w:rPr>
                <w:rFonts w:hint="eastAsia"/>
              </w:rPr>
              <w:t>专用的充装台(线)和充装装置的配置：</w:t>
            </w:r>
          </w:p>
          <w:p>
            <w:r>
              <w:rPr>
                <w:rFonts w:hint="eastAsia"/>
                <w:lang w:val="en-US" w:eastAsia="zh-CN"/>
              </w:rPr>
              <w:t>1、</w:t>
            </w:r>
            <w:r>
              <w:rPr>
                <w:rFonts w:hint="eastAsia"/>
              </w:rPr>
              <w:t>装卸用管应当符合相关标准的技术及安全要求；</w:t>
            </w:r>
          </w:p>
          <w:p>
            <w:r>
              <w:rPr>
                <w:rFonts w:hint="eastAsia"/>
                <w:lang w:val="en-US" w:eastAsia="zh-CN"/>
              </w:rPr>
              <w:t>2、</w:t>
            </w:r>
            <w:r>
              <w:rPr>
                <w:rFonts w:hint="eastAsia"/>
              </w:rPr>
              <w:t>装卸用管与移动式压力容器有可靠的连接方式；</w:t>
            </w:r>
          </w:p>
          <w:p>
            <w:r>
              <w:rPr>
                <w:rFonts w:hint="eastAsia"/>
                <w:lang w:val="en-US" w:eastAsia="zh-CN"/>
              </w:rPr>
              <w:t>3、</w:t>
            </w:r>
            <w:r>
              <w:rPr>
                <w:rFonts w:hint="eastAsia"/>
              </w:rPr>
              <w:t>具有防止装卸用管拉脱的联锁保护装置或者措施；</w:t>
            </w:r>
          </w:p>
          <w:p>
            <w:r>
              <w:rPr>
                <w:rFonts w:hint="eastAsia"/>
                <w:lang w:val="en-US" w:eastAsia="zh-CN"/>
              </w:rPr>
              <w:t>4、</w:t>
            </w:r>
            <w:r>
              <w:rPr>
                <w:rFonts w:hint="eastAsia"/>
              </w:rPr>
              <w:t>所选用装卸用管的材料应当与充装介质相容；</w:t>
            </w:r>
          </w:p>
          <w:p>
            <w:r>
              <w:rPr>
                <w:rFonts w:hint="eastAsia"/>
                <w:lang w:val="en-US" w:eastAsia="zh-CN"/>
              </w:rPr>
              <w:t>5、</w:t>
            </w:r>
            <w:r>
              <w:rPr>
                <w:rFonts w:hint="eastAsia"/>
              </w:rPr>
              <w:t>充装冷冻液化气体的装卸用管以及紧固件的材料，应当能够满足低温性能要求，禁止使用软管充装液氯、液氨、液化石油气、液化天然气等液化危险化学品；</w:t>
            </w:r>
          </w:p>
          <w:p>
            <w:r>
              <w:rPr>
                <w:rFonts w:hint="eastAsia"/>
                <w:lang w:val="en-US" w:eastAsia="zh-CN"/>
              </w:rPr>
              <w:t>6、</w:t>
            </w:r>
            <w:r>
              <w:rPr>
                <w:rFonts w:hint="eastAsia"/>
              </w:rPr>
              <w:t>易燃、易爆、有毒介质的充装系统，应当具有处理充装前置换介质的措施及充装后密闭回收介质的设施，并且符合有关规范及相关 标准的要求。</w:t>
            </w:r>
          </w:p>
        </w:tc>
        <w:tc>
          <w:tcPr>
            <w:tcW w:w="1701" w:type="dxa"/>
            <w:vAlign w:val="center"/>
          </w:tcPr>
          <w:p>
            <w:r>
              <w:rPr>
                <w:rFonts w:hint="eastAsia"/>
              </w:rPr>
              <w:t>1、提供软管的购置证明材料、合格证、说明书；</w:t>
            </w:r>
          </w:p>
          <w:p>
            <w:pPr>
              <w:rPr>
                <w:rFonts w:hint="eastAsia" w:eastAsia="宋体"/>
                <w:lang w:eastAsia="zh-CN"/>
              </w:rPr>
            </w:pPr>
            <w:r>
              <w:rPr>
                <w:rFonts w:hint="eastAsia"/>
              </w:rPr>
              <w:t>2、软管的耐压试验记录</w:t>
            </w:r>
            <w:r>
              <w:rPr>
                <w:rFonts w:hint="eastAsia"/>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4</w:t>
            </w:r>
          </w:p>
        </w:tc>
        <w:tc>
          <w:tcPr>
            <w:tcW w:w="709" w:type="dxa"/>
            <w:tcBorders>
              <w:bottom w:val="single" w:color="auto" w:sz="4" w:space="0"/>
              <w:right w:val="single" w:color="auto" w:sz="4" w:space="0"/>
            </w:tcBorders>
            <w:vAlign w:val="center"/>
          </w:tcPr>
          <w:p>
            <w:r>
              <w:rPr>
                <w:rFonts w:hint="eastAsia"/>
              </w:rPr>
              <w:t>电器、仪器、</w:t>
            </w:r>
          </w:p>
          <w:p>
            <w:pPr>
              <w:rPr>
                <w:rFonts w:ascii="宋体" w:hAnsi="宋体" w:cs="宋体"/>
                <w:sz w:val="20"/>
              </w:rPr>
            </w:pPr>
            <w:r>
              <w:rPr>
                <w:rFonts w:hint="eastAsia"/>
              </w:rPr>
              <w:t>仪表、计量器具</w:t>
            </w:r>
          </w:p>
        </w:tc>
        <w:tc>
          <w:tcPr>
            <w:tcW w:w="4252" w:type="dxa"/>
            <w:tcBorders>
              <w:left w:val="single" w:color="auto" w:sz="4" w:space="0"/>
            </w:tcBorders>
            <w:vAlign w:val="center"/>
          </w:tcPr>
          <w:p>
            <w:r>
              <w:rPr>
                <w:rFonts w:hint="eastAsia"/>
                <w:lang w:val="en-US" w:eastAsia="zh-CN"/>
              </w:rPr>
              <w:t>1、</w:t>
            </w:r>
            <w:r>
              <w:rPr>
                <w:rFonts w:hint="eastAsia"/>
              </w:rPr>
              <w:t>爆炸危险场所电力装置的设计、仪器仪表等的配置，以及施工与验收应当符合 GB 50058— 2014《爆炸危险环境电力装置设计规范》和 GB 50257— 2014《电气装置安装工程爆炸和火灾危险环境电气装置施工及验收规范》的要求；</w:t>
            </w:r>
          </w:p>
          <w:p>
            <w:r>
              <w:rPr>
                <w:rFonts w:hint="eastAsia"/>
                <w:lang w:val="en-US" w:eastAsia="zh-CN"/>
              </w:rPr>
              <w:t>2、</w:t>
            </w:r>
            <w:r>
              <w:rPr>
                <w:rFonts w:hint="eastAsia"/>
              </w:rPr>
              <w:t>按照有关规范及相关标准的要求，配置与充装介质相适应的介质分析检测仪器仪表与设施；</w:t>
            </w:r>
          </w:p>
          <w:p>
            <w:r>
              <w:rPr>
                <w:rFonts w:hint="eastAsia"/>
                <w:lang w:val="en-US" w:eastAsia="zh-CN"/>
              </w:rPr>
              <w:t>3、</w:t>
            </w:r>
            <w:r>
              <w:rPr>
                <w:rFonts w:hint="eastAsia"/>
              </w:rPr>
              <w:t>易燃、易爆、有毒介质的充装单位，应当在罐区、压缩机(泵)房、移动式压力容器装卸台等地点，装设气体危险浓度监测报警装置；氧气、可窒息性气体(如氮气等)充装单位，应当在压缩机(泵)房等室内地点，设置空气中氧含量检测报警装置；报警显示器应当设置在值班室或者仪表室等有值班人员的场所；气体危险浓度监测报警装置、空气中氧含量检测报警装置应当在检定有效期内；</w:t>
            </w:r>
          </w:p>
          <w:p>
            <w:r>
              <w:rPr>
                <w:rFonts w:hint="eastAsia"/>
                <w:lang w:val="en-US" w:eastAsia="zh-CN"/>
              </w:rPr>
              <w:t>4、</w:t>
            </w:r>
            <w:r>
              <w:rPr>
                <w:rFonts w:hint="eastAsia"/>
              </w:rPr>
              <w:t>充装工艺管线及其设备应当装设与充装介质相适应的压力表，压力表盘刻度极限值应为设计压力的 1.5 倍至 3 倍，表盘直径不小于 100mm，其精度不低于 1.6 级；</w:t>
            </w:r>
          </w:p>
          <w:p>
            <w:r>
              <w:rPr>
                <w:rFonts w:hint="eastAsia"/>
                <w:lang w:val="en-US" w:eastAsia="zh-CN"/>
              </w:rPr>
              <w:t>5、</w:t>
            </w:r>
            <w:r>
              <w:rPr>
                <w:rFonts w:hint="eastAsia"/>
              </w:rPr>
              <w:t>充装介质为高(低)压液化气体、冷冻液化气体、液体的应当装设电子衡器(轨道衡)，充装介质为压缩气体的应当装设标准压力表，对完成充装的移动式压力容器进行充装量的复检和计量；</w:t>
            </w:r>
          </w:p>
          <w:p>
            <w:r>
              <w:rPr>
                <w:rFonts w:hint="eastAsia"/>
                <w:lang w:val="en-US" w:eastAsia="zh-CN"/>
              </w:rPr>
              <w:t>6、</w:t>
            </w:r>
            <w:r>
              <w:rPr>
                <w:rFonts w:hint="eastAsia"/>
              </w:rPr>
              <w:t>建立仪器仪表、计量器具、设备等台账，按照相关规定进行定期检定，并且在检定有效期内使用。</w:t>
            </w:r>
          </w:p>
        </w:tc>
        <w:tc>
          <w:tcPr>
            <w:tcW w:w="1701" w:type="dxa"/>
            <w:vAlign w:val="center"/>
          </w:tcPr>
          <w:p>
            <w:r>
              <w:rPr>
                <w:rFonts w:hint="eastAsia"/>
              </w:rPr>
              <w:t>1、提供电力装置的设计、仪器仪表等的配置的设计、安装和验收资料，或者安全状况的评价资料；</w:t>
            </w:r>
          </w:p>
          <w:p>
            <w:r>
              <w:rPr>
                <w:rFonts w:hint="eastAsia"/>
              </w:rPr>
              <w:t>2、提供介质分析仪器的购置证明材料、合格证、说明书；介质分析记录，或者上游供应商的介质分析报告；</w:t>
            </w:r>
          </w:p>
          <w:p>
            <w:r>
              <w:rPr>
                <w:rFonts w:hint="eastAsia"/>
              </w:rPr>
              <w:t>3、提供介质分析仪器的购置证明材料、合格证、说明书和检定报告；</w:t>
            </w:r>
          </w:p>
          <w:p>
            <w:r>
              <w:rPr>
                <w:rFonts w:hint="eastAsia"/>
              </w:rPr>
              <w:t>4、提供压力表的校准或检定报告；</w:t>
            </w:r>
          </w:p>
          <w:p>
            <w:r>
              <w:rPr>
                <w:rFonts w:hint="eastAsia"/>
              </w:rPr>
              <w:t>5、提供电子衡器(轨道衡)或标准压力表的购置证明材料、合格证、说明书和检定报告；</w:t>
            </w:r>
          </w:p>
          <w:p>
            <w:pPr>
              <w:rPr>
                <w:rFonts w:hint="eastAsia" w:eastAsia="宋体"/>
                <w:lang w:eastAsia="zh-CN"/>
              </w:rPr>
            </w:pPr>
            <w:r>
              <w:rPr>
                <w:rFonts w:hint="eastAsia"/>
              </w:rPr>
              <w:t>6、提供仪器设备台账、检定（校准）或定期检验报告</w:t>
            </w:r>
            <w:r>
              <w:rPr>
                <w:rFonts w:hint="eastAsia"/>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5</w:t>
            </w:r>
          </w:p>
        </w:tc>
        <w:tc>
          <w:tcPr>
            <w:tcW w:w="709" w:type="dxa"/>
            <w:tcBorders>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安全</w:t>
            </w:r>
          </w:p>
          <w:p>
            <w:pPr>
              <w:jc w:val="center"/>
              <w:rPr>
                <w:rFonts w:ascii="宋体" w:hAnsi="宋体" w:cs="宋体"/>
                <w:sz w:val="20"/>
              </w:rPr>
            </w:pPr>
            <w:r>
              <w:rPr>
                <w:rFonts w:hint="eastAsia" w:ascii="宋体" w:hAnsi="宋体" w:cs="宋体"/>
                <w:sz w:val="20"/>
              </w:rPr>
              <w:t>设施</w:t>
            </w:r>
          </w:p>
        </w:tc>
        <w:tc>
          <w:tcPr>
            <w:tcW w:w="4252" w:type="dxa"/>
            <w:tcBorders>
              <w:left w:val="single" w:color="auto" w:sz="4" w:space="0"/>
            </w:tcBorders>
            <w:vAlign w:val="center"/>
          </w:tcPr>
          <w:p>
            <w:r>
              <w:rPr>
                <w:rFonts w:hint="eastAsia"/>
                <w:lang w:val="en-US" w:eastAsia="zh-CN"/>
              </w:rPr>
              <w:t>1、</w:t>
            </w:r>
            <w:r>
              <w:rPr>
                <w:rFonts w:hint="eastAsia"/>
              </w:rPr>
              <w:t>充装单位入口应当设立进入充装单位须知牌，大门、罐区、充装区域和压缩机(泵)房等重要部位设置安全警示标志和报警电话号码；</w:t>
            </w:r>
          </w:p>
          <w:p>
            <w:pPr>
              <w:pStyle w:val="2"/>
              <w:rPr>
                <w:rFonts w:hint="default" w:asciiTheme="minorHAnsi" w:hAnsiTheme="minorHAnsi"/>
                <w:sz w:val="21"/>
                <w:szCs w:val="22"/>
              </w:rPr>
            </w:pPr>
            <w:r>
              <w:rPr>
                <w:rFonts w:hint="eastAsia" w:asciiTheme="minorHAnsi" w:hAnsiTheme="minorHAnsi"/>
                <w:sz w:val="21"/>
                <w:szCs w:val="22"/>
                <w:lang w:val="en-US" w:eastAsia="zh-CN"/>
              </w:rPr>
              <w:t>2、</w:t>
            </w:r>
            <w:r>
              <w:rPr>
                <w:rFonts w:asciiTheme="minorHAnsi" w:hAnsiTheme="minorHAnsi"/>
                <w:sz w:val="21"/>
                <w:szCs w:val="22"/>
              </w:rPr>
              <w:t>储存、充装场所的周围杜绝一切火源和热源，并且设有明显的禁火标志；</w:t>
            </w:r>
          </w:p>
          <w:p>
            <w:pPr>
              <w:pStyle w:val="3"/>
              <w:rPr>
                <w:rFonts w:hint="default" w:asciiTheme="minorHAnsi" w:hAnsiTheme="minorHAnsi"/>
                <w:b w:val="0"/>
                <w:sz w:val="21"/>
                <w:szCs w:val="22"/>
              </w:rPr>
            </w:pPr>
            <w:r>
              <w:rPr>
                <w:rFonts w:hint="eastAsia" w:asciiTheme="minorHAnsi" w:hAnsiTheme="minorHAnsi"/>
                <w:b w:val="0"/>
                <w:sz w:val="21"/>
                <w:szCs w:val="22"/>
                <w:lang w:val="en-US" w:eastAsia="zh-CN"/>
              </w:rPr>
              <w:t>3、</w:t>
            </w:r>
            <w:r>
              <w:rPr>
                <w:rFonts w:asciiTheme="minorHAnsi" w:hAnsiTheme="minorHAnsi"/>
                <w:b w:val="0"/>
                <w:sz w:val="21"/>
                <w:szCs w:val="22"/>
              </w:rPr>
              <w:t>易燃、易爆介质储存及充装区域，严禁携带和使用非防爆设备，以及存在潜在危险的电器和设备；</w:t>
            </w:r>
          </w:p>
          <w:p>
            <w:r>
              <w:rPr>
                <w:rFonts w:hint="eastAsia"/>
                <w:lang w:val="en-US" w:eastAsia="zh-CN"/>
              </w:rPr>
              <w:t>4、</w:t>
            </w:r>
            <w:r>
              <w:rPr>
                <w:rFonts w:hint="eastAsia"/>
              </w:rPr>
              <w:t>在通风不良并且有可能发生窒息、中毒等危险场所内的操作或者处理故障、维修等活动，作业人员不少于 2 人，配置自给式空气呼吸器，并且采取监护措施；</w:t>
            </w:r>
          </w:p>
          <w:p>
            <w:pPr>
              <w:pStyle w:val="2"/>
              <w:rPr>
                <w:rFonts w:hint="default" w:asciiTheme="minorHAnsi" w:hAnsiTheme="minorHAnsi"/>
                <w:sz w:val="21"/>
                <w:szCs w:val="22"/>
              </w:rPr>
            </w:pPr>
            <w:r>
              <w:rPr>
                <w:rFonts w:hint="eastAsia" w:asciiTheme="minorHAnsi" w:hAnsiTheme="minorHAnsi"/>
                <w:sz w:val="21"/>
                <w:szCs w:val="22"/>
                <w:lang w:val="en-US" w:eastAsia="zh-CN"/>
              </w:rPr>
              <w:t>5、</w:t>
            </w:r>
            <w:r>
              <w:rPr>
                <w:rFonts w:asciiTheme="minorHAnsi" w:hAnsiTheme="minorHAnsi"/>
                <w:sz w:val="21"/>
                <w:szCs w:val="22"/>
              </w:rPr>
              <w:t>根据充装介质的危害性，应当为作业人员配置必要的防护用具和用品；</w:t>
            </w:r>
          </w:p>
          <w:p>
            <w:pPr>
              <w:pStyle w:val="3"/>
              <w:rPr>
                <w:rFonts w:hint="eastAsia" w:eastAsia="宋体" w:asciiTheme="minorHAnsi" w:hAnsiTheme="minorHAnsi"/>
                <w:b w:val="0"/>
                <w:sz w:val="21"/>
                <w:szCs w:val="22"/>
                <w:lang w:eastAsia="zh-CN"/>
              </w:rPr>
            </w:pPr>
            <w:r>
              <w:rPr>
                <w:rFonts w:hint="eastAsia" w:asciiTheme="minorHAnsi" w:hAnsiTheme="minorHAnsi"/>
                <w:b w:val="0"/>
                <w:sz w:val="21"/>
                <w:szCs w:val="22"/>
                <w:lang w:val="en-US" w:eastAsia="zh-CN"/>
              </w:rPr>
              <w:t>6、</w:t>
            </w:r>
            <w:r>
              <w:rPr>
                <w:rFonts w:asciiTheme="minorHAnsi" w:hAnsiTheme="minorHAnsi"/>
                <w:b w:val="0"/>
                <w:sz w:val="21"/>
                <w:szCs w:val="22"/>
              </w:rPr>
              <w:t>配置用于事故处置的应急工具、器具和安全防护用品，并且定期进行检查， 确保有效可用</w:t>
            </w:r>
            <w:r>
              <w:rPr>
                <w:rFonts w:hint="eastAsia" w:asciiTheme="minorHAnsi" w:hAnsiTheme="minorHAnsi"/>
                <w:b w:val="0"/>
                <w:sz w:val="21"/>
                <w:szCs w:val="22"/>
                <w:lang w:eastAsia="zh-CN"/>
              </w:rPr>
              <w:t>。</w:t>
            </w:r>
          </w:p>
          <w:p>
            <w:pPr>
              <w:rPr>
                <w:b/>
                <w:bCs/>
              </w:rPr>
            </w:pPr>
            <w:r>
              <w:rPr>
                <w:rFonts w:hint="eastAsia" w:ascii="宋体" w:hAnsi="宋体" w:cs="宋体"/>
                <w:b/>
                <w:bCs/>
                <w:spacing w:val="7"/>
              </w:rPr>
              <w:t>易燃、易爆、有毒及还原性介质充装还应具备以下条件：</w:t>
            </w:r>
          </w:p>
          <w:p>
            <w:pPr>
              <w:pStyle w:val="3"/>
              <w:rPr>
                <w:rFonts w:hint="default" w:asciiTheme="minorHAnsi" w:hAnsiTheme="minorHAnsi"/>
                <w:b w:val="0"/>
                <w:sz w:val="21"/>
                <w:szCs w:val="22"/>
              </w:rPr>
            </w:pPr>
            <w:r>
              <w:rPr>
                <w:rFonts w:hint="eastAsia" w:asciiTheme="minorHAnsi" w:hAnsiTheme="minorHAnsi"/>
                <w:b w:val="0"/>
                <w:sz w:val="21"/>
                <w:szCs w:val="22"/>
                <w:lang w:val="en-US" w:eastAsia="zh-CN"/>
              </w:rPr>
              <w:t>1、</w:t>
            </w:r>
            <w:r>
              <w:rPr>
                <w:rFonts w:asciiTheme="minorHAnsi" w:hAnsiTheme="minorHAnsi"/>
                <w:b w:val="0"/>
                <w:sz w:val="21"/>
                <w:szCs w:val="22"/>
              </w:rPr>
              <w:t>介质储存和充装区安装明显可见的风向标或者风向袋；</w:t>
            </w:r>
          </w:p>
          <w:p>
            <w:r>
              <w:rPr>
                <w:rFonts w:hint="eastAsia"/>
                <w:lang w:val="en-US" w:eastAsia="zh-CN"/>
              </w:rPr>
              <w:t>2、</w:t>
            </w:r>
            <w:r>
              <w:rPr>
                <w:rFonts w:hint="eastAsia"/>
              </w:rPr>
              <w:t>充装单位内设置紧急切断系统，事故发生时，能够切断或者关闭介质源，并且关闭正在运行可能使事故扩大的设备；</w:t>
            </w:r>
          </w:p>
          <w:p>
            <w:pPr>
              <w:pStyle w:val="2"/>
              <w:rPr>
                <w:rFonts w:hint="default" w:asciiTheme="minorHAnsi" w:hAnsiTheme="minorHAnsi"/>
                <w:sz w:val="21"/>
                <w:szCs w:val="22"/>
              </w:rPr>
            </w:pPr>
            <w:r>
              <w:rPr>
                <w:rFonts w:hint="eastAsia" w:asciiTheme="minorHAnsi" w:hAnsiTheme="minorHAnsi"/>
                <w:sz w:val="21"/>
                <w:szCs w:val="22"/>
                <w:lang w:val="en-US" w:eastAsia="zh-CN"/>
              </w:rPr>
              <w:t>3、</w:t>
            </w:r>
            <w:r>
              <w:rPr>
                <w:rFonts w:asciiTheme="minorHAnsi" w:hAnsiTheme="minorHAnsi"/>
                <w:sz w:val="21"/>
                <w:szCs w:val="22"/>
              </w:rPr>
              <w:t>装卸台、储罐、工艺管道和设备等应当装设静电接地设施和静电接地报警器， 充装单位入口处应当设置人体静电释放装置，所有设施应当在检测合格有效期内，其相关设计符合 GB 50057—2010《建筑物防雷设计规范》和 HG/T 20675—1990《化工企业静电接地设计规程》的规定；所有设施应当在检测合格有效期内；</w:t>
            </w:r>
          </w:p>
          <w:p>
            <w:pPr>
              <w:pStyle w:val="3"/>
              <w:rPr>
                <w:rFonts w:hint="default" w:asciiTheme="minorHAnsi" w:hAnsiTheme="minorHAnsi"/>
                <w:b w:val="0"/>
                <w:sz w:val="21"/>
                <w:szCs w:val="22"/>
              </w:rPr>
            </w:pPr>
            <w:r>
              <w:rPr>
                <w:rFonts w:hint="eastAsia" w:asciiTheme="minorHAnsi" w:hAnsiTheme="minorHAnsi"/>
                <w:b w:val="0"/>
                <w:sz w:val="21"/>
                <w:szCs w:val="22"/>
                <w:lang w:val="en-US" w:eastAsia="zh-CN"/>
              </w:rPr>
              <w:t>4、</w:t>
            </w:r>
            <w:r>
              <w:rPr>
                <w:rFonts w:asciiTheme="minorHAnsi" w:hAnsiTheme="minorHAnsi"/>
                <w:b w:val="0"/>
                <w:sz w:val="21"/>
                <w:szCs w:val="22"/>
              </w:rPr>
              <w:t>装卸系统的压缩机、泵等相关设备应当装设出口压力上限联锁停机(泵)装置， 当压缩机或者泵出口压力达到设定的压力上限数值时，能够联锁自动停机(泵)；</w:t>
            </w:r>
          </w:p>
          <w:p>
            <w:r>
              <w:rPr>
                <w:rFonts w:hint="eastAsia"/>
                <w:lang w:val="en-US" w:eastAsia="zh-CN"/>
              </w:rPr>
              <w:t>5、</w:t>
            </w:r>
            <w:r>
              <w:rPr>
                <w:rFonts w:hint="eastAsia"/>
              </w:rPr>
              <w:t>生产区的排水系统应当采取防止易燃、易爆、有毒介质流入下水道或者其他以顶盖密封的沟渠中的措施。</w:t>
            </w:r>
          </w:p>
        </w:tc>
        <w:tc>
          <w:tcPr>
            <w:tcW w:w="1701" w:type="dxa"/>
            <w:vAlign w:val="center"/>
          </w:tcPr>
          <w:p>
            <w:r>
              <w:rPr>
                <w:rFonts w:hint="eastAsia"/>
              </w:rPr>
              <w:t>1、提供自给式空气呼吸器的购置证明材料、合格证等；</w:t>
            </w:r>
          </w:p>
          <w:p>
            <w:r>
              <w:rPr>
                <w:rFonts w:hint="eastAsia"/>
              </w:rPr>
              <w:t>2、作业人员的防护用具和用品的购置证明材料、合格证等；</w:t>
            </w:r>
          </w:p>
          <w:p>
            <w:r>
              <w:rPr>
                <w:rFonts w:hint="eastAsia"/>
              </w:rPr>
              <w:t>3用于事故处置的应急工具、器具和安全防护用品的购置证明材料、合格证、检查记录；</w:t>
            </w:r>
          </w:p>
          <w:p>
            <w:r>
              <w:rPr>
                <w:rFonts w:hint="eastAsia"/>
              </w:rPr>
              <w:t>4、风向标或者风向袋的购置证明材料、合格证、检查记录；</w:t>
            </w:r>
          </w:p>
          <w:p>
            <w:r>
              <w:rPr>
                <w:rFonts w:hint="eastAsia"/>
              </w:rPr>
              <w:t>5、紧急切断系统的购置证明材料、合格证、安装验收记录、日常检查试验记录；</w:t>
            </w:r>
          </w:p>
          <w:p>
            <w:r>
              <w:rPr>
                <w:rFonts w:hint="eastAsia"/>
              </w:rPr>
              <w:t>6、静电接地设施和静电接地报警器的设计文件、购置证明材料、合格证、安装验收记录、检定（校准）报告；</w:t>
            </w:r>
          </w:p>
          <w:p>
            <w:pPr>
              <w:rPr>
                <w:rFonts w:hint="eastAsia" w:eastAsia="宋体"/>
                <w:lang w:eastAsia="zh-CN"/>
              </w:rPr>
            </w:pPr>
            <w:r>
              <w:rPr>
                <w:rFonts w:hint="eastAsia"/>
              </w:rPr>
              <w:t>7、压力上限联锁停机(泵)装置的设计文件、购置证明材料、合格证、安装验收记录、日常检查试验记录</w:t>
            </w:r>
            <w:r>
              <w:rPr>
                <w:rFonts w:hint="eastAsia"/>
                <w:lang w:eastAsia="zh-CN"/>
              </w:rPr>
              <w:t>。</w:t>
            </w:r>
          </w:p>
          <w:p>
            <w:pPr>
              <w:pStyle w:val="3"/>
              <w:rPr>
                <w:rFonts w:hint="default"/>
              </w:rPr>
            </w:pP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ascii="宋体" w:hAnsi="宋体"/>
                <w:szCs w:val="21"/>
              </w:rPr>
            </w:pPr>
            <w:r>
              <w:rPr>
                <w:rFonts w:hint="eastAsia" w:ascii="宋体" w:hAnsi="宋体"/>
                <w:szCs w:val="21"/>
              </w:rPr>
              <w:t>6</w:t>
            </w:r>
          </w:p>
        </w:tc>
        <w:tc>
          <w:tcPr>
            <w:tcW w:w="709" w:type="dxa"/>
            <w:vMerge w:val="restart"/>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人员配备</w:t>
            </w:r>
          </w:p>
        </w:tc>
        <w:tc>
          <w:tcPr>
            <w:tcW w:w="4252" w:type="dxa"/>
            <w:tcBorders>
              <w:left w:val="single" w:color="auto" w:sz="4" w:space="0"/>
            </w:tcBorders>
            <w:vAlign w:val="center"/>
          </w:tcPr>
          <w:p>
            <w:pPr>
              <w:rPr>
                <w:rFonts w:ascii="宋体" w:hAnsi="宋体"/>
                <w:szCs w:val="21"/>
              </w:rPr>
            </w:pPr>
            <w:r>
              <w:rPr>
                <w:rFonts w:hint="eastAsia" w:ascii="宋体" w:hAnsi="宋体" w:cs="宋体"/>
              </w:rPr>
              <w:t>充装单位法定代表人（主要负责人）</w:t>
            </w:r>
            <w:r>
              <w:rPr>
                <w:rFonts w:hint="eastAsia" w:ascii="宋体" w:hAnsi="宋体"/>
                <w:szCs w:val="21"/>
              </w:rPr>
              <w:t>：应当熟悉与移动式压力容器充装安全管理相关的法律、法规、规章和安全技术规范。</w:t>
            </w:r>
          </w:p>
        </w:tc>
        <w:tc>
          <w:tcPr>
            <w:tcW w:w="1701" w:type="dxa"/>
            <w:vAlign w:val="center"/>
          </w:tcPr>
          <w:p>
            <w:pPr>
              <w:jc w:val="center"/>
              <w:rPr>
                <w:rFonts w:hint="eastAsia" w:ascii="宋体" w:hAnsi="宋体" w:eastAsia="宋体"/>
                <w:szCs w:val="21"/>
                <w:lang w:eastAsia="zh-CN"/>
              </w:rPr>
            </w:pPr>
            <w:r>
              <w:rPr>
                <w:rFonts w:hint="eastAsia" w:ascii="宋体" w:hAnsi="宋体"/>
                <w:szCs w:val="21"/>
              </w:rPr>
              <w:t>聘用合同、身份证、资格证件、培训证明或现场测试</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合同、身份证、资格证件需提供原件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right w:val="single" w:color="auto" w:sz="4" w:space="0"/>
            </w:tcBorders>
            <w:vAlign w:val="center"/>
          </w:tcPr>
          <w:p>
            <w:pPr>
              <w:rPr>
                <w:rFonts w:ascii="宋体" w:hAnsi="宋体"/>
                <w:szCs w:val="21"/>
              </w:rPr>
            </w:pPr>
          </w:p>
        </w:tc>
        <w:tc>
          <w:tcPr>
            <w:tcW w:w="4252" w:type="dxa"/>
            <w:tcBorders>
              <w:left w:val="single" w:color="auto" w:sz="4" w:space="0"/>
            </w:tcBorders>
            <w:vAlign w:val="center"/>
          </w:tcPr>
          <w:p>
            <w:pPr>
              <w:jc w:val="center"/>
              <w:rPr>
                <w:rFonts w:ascii="宋体" w:hAnsi="宋体"/>
                <w:szCs w:val="21"/>
              </w:rPr>
            </w:pPr>
            <w:r>
              <w:rPr>
                <w:rFonts w:hint="eastAsia" w:ascii="宋体" w:hAnsi="宋体" w:cs="宋体"/>
              </w:rPr>
              <w:t>技术负责人：具有工程师职称，具有移动式压力容器充装管理经验，能够处理一般技术问题，具备组织协调和事故应急处置的能力。</w:t>
            </w:r>
          </w:p>
        </w:tc>
        <w:tc>
          <w:tcPr>
            <w:tcW w:w="1701" w:type="dxa"/>
            <w:vAlign w:val="center"/>
          </w:tcPr>
          <w:p>
            <w:pPr>
              <w:rPr>
                <w:rFonts w:hint="eastAsia" w:ascii="宋体" w:hAnsi="宋体" w:eastAsia="宋体"/>
                <w:szCs w:val="21"/>
                <w:lang w:eastAsia="zh-CN"/>
              </w:rPr>
            </w:pPr>
            <w:r>
              <w:rPr>
                <w:rFonts w:hint="eastAsia" w:ascii="宋体" w:hAnsi="宋体"/>
                <w:szCs w:val="21"/>
              </w:rPr>
              <w:t>聘用合同、身份证、资格证书、培训证明、任命文件、本单位养老保险缴纳证明（网上查询）</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right w:val="single" w:color="auto" w:sz="4" w:space="0"/>
            </w:tcBorders>
            <w:vAlign w:val="center"/>
          </w:tcPr>
          <w:p>
            <w:pPr>
              <w:rPr>
                <w:rFonts w:ascii="宋体" w:hAnsi="宋体"/>
                <w:szCs w:val="21"/>
              </w:rPr>
            </w:pPr>
          </w:p>
        </w:tc>
        <w:tc>
          <w:tcPr>
            <w:tcW w:w="4252" w:type="dxa"/>
            <w:tcBorders>
              <w:left w:val="single" w:color="auto" w:sz="4" w:space="0"/>
            </w:tcBorders>
            <w:vAlign w:val="center"/>
          </w:tcPr>
          <w:p>
            <w:pPr>
              <w:jc w:val="center"/>
              <w:rPr>
                <w:rFonts w:ascii="宋体" w:hAnsi="宋体" w:cs="宋体"/>
              </w:rPr>
            </w:pPr>
            <w:r>
              <w:rPr>
                <w:rFonts w:hint="eastAsia" w:ascii="宋体" w:hAnsi="宋体" w:cs="宋体"/>
              </w:rPr>
              <w:t>专职安全管理员：取得特种设备安全管理人员资格。</w:t>
            </w:r>
          </w:p>
        </w:tc>
        <w:tc>
          <w:tcPr>
            <w:tcW w:w="1701" w:type="dxa"/>
            <w:vAlign w:val="center"/>
          </w:tcPr>
          <w:p>
            <w:pPr>
              <w:rPr>
                <w:rFonts w:hint="eastAsia" w:ascii="宋体" w:hAnsi="宋体" w:eastAsia="宋体"/>
                <w:szCs w:val="21"/>
                <w:lang w:eastAsia="zh-CN"/>
              </w:rPr>
            </w:pPr>
            <w:r>
              <w:rPr>
                <w:rFonts w:hint="eastAsia" w:ascii="宋体" w:hAnsi="宋体"/>
                <w:szCs w:val="21"/>
              </w:rPr>
              <w:t>聘用合同、身份证、资格证书、培训证明、任命文件、本单位养老保险缴纳证明（网上查询）</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right w:val="single" w:color="auto" w:sz="4" w:space="0"/>
            </w:tcBorders>
            <w:vAlign w:val="center"/>
          </w:tcPr>
          <w:p>
            <w:pPr>
              <w:rPr>
                <w:rFonts w:ascii="宋体" w:hAnsi="宋体"/>
                <w:szCs w:val="21"/>
              </w:rPr>
            </w:pPr>
          </w:p>
        </w:tc>
        <w:tc>
          <w:tcPr>
            <w:tcW w:w="4252" w:type="dxa"/>
            <w:tcBorders>
              <w:left w:val="single" w:color="auto" w:sz="4" w:space="0"/>
            </w:tcBorders>
            <w:vAlign w:val="center"/>
          </w:tcPr>
          <w:p>
            <w:pPr>
              <w:jc w:val="center"/>
              <w:rPr>
                <w:rFonts w:ascii="宋体" w:hAnsi="宋体" w:cs="宋体"/>
              </w:rPr>
            </w:pPr>
            <w:r>
              <w:rPr>
                <w:rFonts w:hint="eastAsia" w:ascii="宋体" w:hAnsi="宋体" w:cs="宋体"/>
              </w:rPr>
              <w:t>作业人员(充装人员检查人员)：持有移动式压力容器充装作业人员资格。</w:t>
            </w:r>
          </w:p>
        </w:tc>
        <w:tc>
          <w:tcPr>
            <w:tcW w:w="1701" w:type="dxa"/>
            <w:vAlign w:val="center"/>
          </w:tcPr>
          <w:p>
            <w:pPr>
              <w:rPr>
                <w:rFonts w:hint="eastAsia" w:ascii="宋体" w:hAnsi="宋体" w:eastAsia="宋体"/>
                <w:szCs w:val="21"/>
                <w:lang w:eastAsia="zh-CN"/>
              </w:rPr>
            </w:pPr>
            <w:r>
              <w:rPr>
                <w:rFonts w:hint="eastAsia" w:ascii="宋体" w:hAnsi="宋体"/>
                <w:szCs w:val="21"/>
              </w:rPr>
              <w:t>聘用合同、身份证、资格证书、培训证明、任命文件、本单位养老保险缴纳证明（网上查询）</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709" w:type="dxa"/>
            <w:vMerge w:val="continue"/>
            <w:tcBorders>
              <w:right w:val="single" w:color="auto" w:sz="4" w:space="0"/>
            </w:tcBorders>
            <w:vAlign w:val="center"/>
          </w:tcPr>
          <w:p>
            <w:pPr>
              <w:rPr>
                <w:rFonts w:ascii="宋体" w:hAnsi="宋体"/>
                <w:szCs w:val="21"/>
              </w:rPr>
            </w:pPr>
          </w:p>
        </w:tc>
        <w:tc>
          <w:tcPr>
            <w:tcW w:w="4252" w:type="dxa"/>
            <w:tcBorders>
              <w:left w:val="single" w:color="auto" w:sz="4" w:space="0"/>
            </w:tcBorders>
            <w:vAlign w:val="center"/>
          </w:tcPr>
          <w:p>
            <w:pPr>
              <w:jc w:val="center"/>
              <w:rPr>
                <w:rFonts w:ascii="宋体" w:hAnsi="宋体" w:cs="宋体"/>
              </w:rPr>
            </w:pPr>
            <w:r>
              <w:rPr>
                <w:rFonts w:hint="eastAsia" w:ascii="宋体" w:hAnsi="宋体" w:cs="宋体"/>
              </w:rPr>
              <w:t>化验人员：经过技术和安全培训，掌握与充装介质相关的知识，检验设备、仪器和仪表的性能以及使用方法。</w:t>
            </w:r>
          </w:p>
        </w:tc>
        <w:tc>
          <w:tcPr>
            <w:tcW w:w="1701" w:type="dxa"/>
            <w:vAlign w:val="center"/>
          </w:tcPr>
          <w:p>
            <w:pPr>
              <w:rPr>
                <w:rFonts w:hint="eastAsia" w:ascii="宋体" w:hAnsi="宋体" w:eastAsia="宋体"/>
                <w:szCs w:val="21"/>
                <w:lang w:eastAsia="zh-CN"/>
              </w:rPr>
            </w:pPr>
            <w:r>
              <w:rPr>
                <w:rFonts w:hint="eastAsia" w:ascii="宋体" w:hAnsi="宋体"/>
                <w:szCs w:val="21"/>
              </w:rPr>
              <w:t>聘用合同、身份证、培训证明、任命文件、本单位养老保险缴纳证明（网上查询）</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7</w:t>
            </w:r>
          </w:p>
        </w:tc>
        <w:tc>
          <w:tcPr>
            <w:tcW w:w="709" w:type="dxa"/>
            <w:tcBorders>
              <w:right w:val="single" w:color="auto" w:sz="4" w:space="0"/>
            </w:tcBorders>
            <w:vAlign w:val="center"/>
          </w:tcPr>
          <w:p>
            <w:pPr>
              <w:jc w:val="center"/>
              <w:rPr>
                <w:rFonts w:ascii="宋体" w:hAnsi="宋体"/>
                <w:szCs w:val="21"/>
              </w:rPr>
            </w:pPr>
            <w:r>
              <w:rPr>
                <w:rFonts w:hint="eastAsia" w:ascii="宋体" w:hAnsi="宋体"/>
                <w:szCs w:val="21"/>
              </w:rPr>
              <w:t>质量体系</w:t>
            </w:r>
          </w:p>
        </w:tc>
        <w:tc>
          <w:tcPr>
            <w:tcW w:w="4252" w:type="dxa"/>
            <w:tcBorders>
              <w:left w:val="single" w:color="auto" w:sz="4" w:space="0"/>
            </w:tcBorders>
            <w:vAlign w:val="center"/>
          </w:tcPr>
          <w:p>
            <w:pPr>
              <w:jc w:val="center"/>
              <w:rPr>
                <w:rFonts w:ascii="宋体" w:hAnsi="宋体" w:cs="宋体"/>
              </w:rPr>
            </w:pPr>
            <w:r>
              <w:rPr>
                <w:rFonts w:hint="eastAsia" w:ascii="宋体" w:hAnsi="宋体" w:cs="宋体"/>
              </w:rPr>
              <w:t>建立健全的质量保证体系，制定适应充装工作需要的事故应急预案，并且能够有效实施。</w:t>
            </w:r>
          </w:p>
        </w:tc>
        <w:tc>
          <w:tcPr>
            <w:tcW w:w="1701" w:type="dxa"/>
            <w:vAlign w:val="center"/>
          </w:tcPr>
          <w:p>
            <w:pPr>
              <w:rPr>
                <w:rFonts w:hint="eastAsia" w:ascii="宋体" w:hAnsi="宋体" w:eastAsia="宋体"/>
                <w:szCs w:val="21"/>
                <w:lang w:eastAsia="zh-CN"/>
              </w:rPr>
            </w:pPr>
            <w:r>
              <w:rPr>
                <w:rFonts w:hint="eastAsia" w:ascii="宋体" w:hAnsi="宋体" w:cs="宋体"/>
              </w:rPr>
              <w:t>质量保证体系文件或手册、事故应急预案（含文件、记录和图片等见证资料）</w:t>
            </w:r>
            <w:r>
              <w:rPr>
                <w:rFonts w:hint="eastAsia" w:ascii="宋体" w:hAnsi="宋体" w:cs="宋体"/>
                <w:lang w:eastAsia="zh-CN"/>
              </w:rPr>
              <w:t>。</w:t>
            </w:r>
          </w:p>
        </w:tc>
        <w:tc>
          <w:tcPr>
            <w:tcW w:w="1043" w:type="dxa"/>
            <w:vAlign w:val="center"/>
          </w:tcPr>
          <w:p>
            <w:pPr>
              <w:jc w:val="center"/>
              <w:rPr>
                <w:rFonts w:ascii="宋体" w:hAnsi="宋体"/>
                <w:szCs w:val="21"/>
              </w:rPr>
            </w:pPr>
            <w:r>
              <w:rPr>
                <w:rFonts w:hint="eastAsia" w:ascii="宋体" w:hAnsi="宋体"/>
                <w:szCs w:val="21"/>
              </w:rPr>
              <w:t>原件/图片需彩色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8</w:t>
            </w:r>
          </w:p>
        </w:tc>
        <w:tc>
          <w:tcPr>
            <w:tcW w:w="709" w:type="dxa"/>
            <w:tcBorders>
              <w:right w:val="single" w:color="auto" w:sz="4" w:space="0"/>
            </w:tcBorders>
            <w:vAlign w:val="center"/>
          </w:tcPr>
          <w:p>
            <w:pPr>
              <w:jc w:val="center"/>
              <w:rPr>
                <w:rFonts w:ascii="宋体" w:hAnsi="宋体"/>
                <w:szCs w:val="21"/>
              </w:rPr>
            </w:pPr>
            <w:r>
              <w:rPr>
                <w:rFonts w:hint="eastAsia" w:ascii="宋体" w:hAnsi="宋体"/>
                <w:szCs w:val="21"/>
              </w:rPr>
              <w:t>信息化</w:t>
            </w:r>
          </w:p>
        </w:tc>
        <w:tc>
          <w:tcPr>
            <w:tcW w:w="4252" w:type="dxa"/>
            <w:tcBorders>
              <w:left w:val="single" w:color="auto" w:sz="4" w:space="0"/>
            </w:tcBorders>
            <w:vAlign w:val="center"/>
          </w:tcPr>
          <w:p>
            <w:pPr>
              <w:rPr>
                <w:rFonts w:ascii="宋体" w:hAnsi="宋体"/>
                <w:szCs w:val="21"/>
              </w:rPr>
            </w:pPr>
            <w:r>
              <w:rPr>
                <w:rFonts w:hint="eastAsia" w:ascii="宋体" w:hAnsi="宋体" w:cs="宋体"/>
              </w:rPr>
              <w:t>自动采集、保存充装记录的信息化平台。</w:t>
            </w:r>
          </w:p>
        </w:tc>
        <w:tc>
          <w:tcPr>
            <w:tcW w:w="1701" w:type="dxa"/>
            <w:vAlign w:val="center"/>
          </w:tcPr>
          <w:p>
            <w:pPr>
              <w:numPr>
                <w:ilvl w:val="0"/>
                <w:numId w:val="1"/>
              </w:numPr>
              <w:rPr>
                <w:rFonts w:ascii="宋体" w:hAnsi="宋体" w:cs="宋体"/>
              </w:rPr>
            </w:pPr>
            <w:r>
              <w:rPr>
                <w:rFonts w:hint="eastAsia" w:ascii="宋体" w:hAnsi="宋体" w:cs="宋体"/>
              </w:rPr>
              <w:t>提供系统的购置证明材料等；</w:t>
            </w:r>
          </w:p>
          <w:p>
            <w:pPr>
              <w:rPr>
                <w:rFonts w:hint="eastAsia" w:ascii="宋体" w:hAnsi="宋体" w:eastAsia="宋体"/>
                <w:szCs w:val="21"/>
                <w:lang w:eastAsia="zh-CN"/>
              </w:rPr>
            </w:pPr>
            <w:r>
              <w:rPr>
                <w:rFonts w:hint="eastAsia" w:ascii="宋体" w:hAnsi="宋体" w:cs="宋体"/>
              </w:rPr>
              <w:t>2、提供系统的工作记录</w:t>
            </w:r>
            <w:r>
              <w:rPr>
                <w:rFonts w:hint="eastAsia" w:ascii="宋体" w:hAnsi="宋体" w:cs="宋体"/>
                <w:lang w:eastAsia="zh-CN"/>
              </w:rPr>
              <w:t>。</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9</w:t>
            </w:r>
          </w:p>
        </w:tc>
        <w:tc>
          <w:tcPr>
            <w:tcW w:w="709" w:type="dxa"/>
            <w:tcBorders>
              <w:right w:val="single" w:color="auto" w:sz="4" w:space="0"/>
            </w:tcBorders>
            <w:vAlign w:val="center"/>
          </w:tcPr>
          <w:p>
            <w:pPr>
              <w:jc w:val="center"/>
              <w:rPr>
                <w:rFonts w:ascii="宋体" w:hAnsi="宋体"/>
                <w:szCs w:val="21"/>
              </w:rPr>
            </w:pPr>
            <w:r>
              <w:rPr>
                <w:rFonts w:hint="eastAsia" w:ascii="宋体" w:hAnsi="宋体"/>
                <w:szCs w:val="21"/>
              </w:rPr>
              <w:t>法律法规 文件</w:t>
            </w:r>
          </w:p>
        </w:tc>
        <w:tc>
          <w:tcPr>
            <w:tcW w:w="4252" w:type="dxa"/>
            <w:tcBorders>
              <w:left w:val="single" w:color="auto" w:sz="4" w:space="0"/>
            </w:tcBorders>
            <w:vAlign w:val="center"/>
          </w:tcPr>
          <w:p>
            <w:pPr>
              <w:rPr>
                <w:rFonts w:hint="eastAsia" w:ascii="宋体" w:hAnsi="宋体" w:eastAsia="宋体"/>
                <w:szCs w:val="21"/>
                <w:lang w:eastAsia="zh-CN"/>
              </w:rPr>
            </w:pPr>
            <w:r>
              <w:rPr>
                <w:rFonts w:hint="eastAsia" w:ascii="宋体" w:hAnsi="宋体"/>
                <w:szCs w:val="21"/>
              </w:rPr>
              <w:t>配备与申请项目相关的法律、法规、规章、安全技术规范及相关标准</w:t>
            </w:r>
            <w:r>
              <w:rPr>
                <w:rFonts w:hint="eastAsia" w:ascii="宋体" w:hAnsi="宋体"/>
                <w:szCs w:val="21"/>
                <w:lang w:eastAsia="zh-CN"/>
              </w:rPr>
              <w:t>。</w:t>
            </w:r>
          </w:p>
        </w:tc>
        <w:tc>
          <w:tcPr>
            <w:tcW w:w="1701" w:type="dxa"/>
            <w:vAlign w:val="center"/>
          </w:tcPr>
          <w:p>
            <w:pPr>
              <w:rPr>
                <w:rFonts w:ascii="宋体" w:hAnsi="宋体"/>
                <w:szCs w:val="21"/>
              </w:rPr>
            </w:pPr>
            <w:r>
              <w:rPr>
                <w:rFonts w:hint="eastAsia" w:ascii="宋体" w:hAnsi="宋体"/>
                <w:szCs w:val="21"/>
              </w:rPr>
              <w:t>1、提供法律、法规、规章、安全技术规范和标准目录；</w:t>
            </w:r>
          </w:p>
          <w:p>
            <w:pPr>
              <w:rPr>
                <w:rFonts w:hint="eastAsia" w:ascii="宋体" w:hAnsi="宋体" w:eastAsia="宋体"/>
                <w:szCs w:val="21"/>
                <w:lang w:eastAsia="zh-CN"/>
              </w:rPr>
            </w:pPr>
            <w:r>
              <w:rPr>
                <w:rFonts w:hint="eastAsia" w:ascii="宋体" w:hAnsi="宋体"/>
                <w:szCs w:val="21"/>
              </w:rPr>
              <w:t>2、提供法律、法规、规章、安全技术规范和标准实物</w:t>
            </w:r>
            <w:r>
              <w:rPr>
                <w:rFonts w:hint="eastAsia" w:ascii="宋体" w:hAnsi="宋体"/>
                <w:szCs w:val="21"/>
                <w:lang w:eastAsia="zh-CN"/>
              </w:rPr>
              <w:t>。</w:t>
            </w:r>
          </w:p>
        </w:tc>
        <w:tc>
          <w:tcPr>
            <w:tcW w:w="1043" w:type="dxa"/>
            <w:vAlign w:val="center"/>
          </w:tcPr>
          <w:p>
            <w:pPr>
              <w:jc w:val="center"/>
              <w:rPr>
                <w:rFonts w:ascii="宋体" w:hAnsi="宋体"/>
                <w:szCs w:val="21"/>
              </w:rPr>
            </w:pPr>
            <w:r>
              <w:rPr>
                <w:rFonts w:hint="eastAsia" w:ascii="宋体" w:hAnsi="宋体"/>
                <w:szCs w:val="21"/>
              </w:rPr>
              <w:t>正版</w:t>
            </w:r>
          </w:p>
        </w:tc>
      </w:tr>
    </w:tbl>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5</w:t>
      </w:r>
      <w:r>
        <w:rPr>
          <w:rFonts w:hint="eastAsia" w:ascii="宋体" w:hAnsi="宋体" w:cs="黑体"/>
          <w:b/>
          <w:sz w:val="24"/>
        </w:rPr>
        <w:t>.2质量体系的建立与实施方面</w:t>
      </w:r>
    </w:p>
    <w:p>
      <w:pPr>
        <w:spacing w:line="360" w:lineRule="auto"/>
        <w:rPr>
          <w:rFonts w:ascii="宋体" w:hAnsi="宋体"/>
          <w:sz w:val="24"/>
        </w:rPr>
      </w:pPr>
      <w:r>
        <w:rPr>
          <w:rFonts w:hint="eastAsia" w:ascii="宋体" w:hAnsi="宋体"/>
          <w:sz w:val="24"/>
        </w:rPr>
        <w:t xml:space="preserve">    质量体系的建立与实施评审需要提供的见证材料及要求见表2：</w:t>
      </w:r>
    </w:p>
    <w:p>
      <w:pPr>
        <w:spacing w:line="360" w:lineRule="auto"/>
        <w:jc w:val="center"/>
        <w:rPr>
          <w:rFonts w:ascii="宋体" w:hAnsi="宋体"/>
          <w:b/>
          <w:sz w:val="24"/>
        </w:rPr>
      </w:pPr>
      <w:r>
        <w:rPr>
          <w:rFonts w:hint="eastAsia" w:ascii="宋体" w:hAnsi="宋体"/>
          <w:b/>
          <w:sz w:val="24"/>
        </w:rPr>
        <w:t>表2  质量体系的建立与实施见证材料及要求</w:t>
      </w:r>
    </w:p>
    <w:tbl>
      <w:tblPr>
        <w:tblStyle w:val="1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6"/>
        <w:gridCol w:w="4361"/>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1276" w:type="dxa"/>
            <w:vAlign w:val="center"/>
          </w:tcPr>
          <w:p>
            <w:pPr>
              <w:jc w:val="center"/>
              <w:rPr>
                <w:rFonts w:ascii="宋体" w:hAnsi="宋体"/>
                <w:szCs w:val="21"/>
              </w:rPr>
            </w:pPr>
            <w:r>
              <w:rPr>
                <w:rFonts w:hint="eastAsia" w:ascii="宋体" w:hAnsi="宋体"/>
                <w:szCs w:val="21"/>
              </w:rPr>
              <w:t>评审项目</w:t>
            </w:r>
          </w:p>
        </w:tc>
        <w:tc>
          <w:tcPr>
            <w:tcW w:w="4361" w:type="dxa"/>
            <w:vAlign w:val="center"/>
          </w:tcPr>
          <w:p>
            <w:pPr>
              <w:jc w:val="center"/>
              <w:rPr>
                <w:rFonts w:ascii="宋体" w:hAnsi="宋体"/>
                <w:szCs w:val="21"/>
              </w:rPr>
            </w:pPr>
            <w:r>
              <w:rPr>
                <w:rFonts w:hint="eastAsia" w:ascii="宋体" w:hAnsi="宋体"/>
                <w:szCs w:val="21"/>
              </w:rPr>
              <w:t>评审内容与要求</w:t>
            </w:r>
          </w:p>
        </w:tc>
        <w:tc>
          <w:tcPr>
            <w:tcW w:w="2976"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jc w:val="center"/>
              <w:rPr>
                <w:rFonts w:ascii="宋体" w:hAnsi="宋体"/>
                <w:szCs w:val="21"/>
              </w:rPr>
            </w:pPr>
            <w:r>
              <w:rPr>
                <w:rFonts w:hint="eastAsia" w:ascii="宋体" w:hAnsi="宋体"/>
                <w:szCs w:val="21"/>
              </w:rPr>
              <w:t>质量体系文件的建立</w:t>
            </w:r>
          </w:p>
        </w:tc>
        <w:tc>
          <w:tcPr>
            <w:tcW w:w="4361" w:type="dxa"/>
            <w:vAlign w:val="center"/>
          </w:tcPr>
          <w:p>
            <w:pPr>
              <w:rPr>
                <w:rFonts w:ascii="宋体" w:hAnsi="宋体"/>
                <w:szCs w:val="21"/>
              </w:rPr>
            </w:pPr>
            <w:r>
              <w:rPr>
                <w:rFonts w:hint="eastAsia" w:ascii="宋体" w:hAnsi="宋体"/>
                <w:szCs w:val="21"/>
                <w:lang w:val="en-US" w:eastAsia="zh-CN"/>
              </w:rPr>
              <w:t>1、</w:t>
            </w:r>
            <w:r>
              <w:rPr>
                <w:rFonts w:hint="eastAsia" w:ascii="宋体" w:hAnsi="宋体"/>
                <w:szCs w:val="21"/>
              </w:rPr>
              <w:t>查阅正式发布的质量管理体系文件（通常包括质量手册、程序文件、管理制度、作业指导文件、记录表格等）；</w:t>
            </w:r>
          </w:p>
          <w:p>
            <w:pPr>
              <w:rPr>
                <w:rFonts w:ascii="宋体" w:hAnsi="宋体"/>
                <w:szCs w:val="21"/>
              </w:rPr>
            </w:pPr>
            <w:r>
              <w:rPr>
                <w:rFonts w:hint="eastAsia" w:ascii="宋体" w:hAnsi="宋体"/>
                <w:szCs w:val="21"/>
                <w:lang w:val="en-US" w:eastAsia="zh-CN"/>
              </w:rPr>
              <w:t>2、</w:t>
            </w:r>
            <w:r>
              <w:rPr>
                <w:rFonts w:hint="eastAsia" w:ascii="宋体" w:hAnsi="宋体"/>
                <w:szCs w:val="21"/>
              </w:rPr>
              <w:t>质量管理体系文件结构层次清晰合理，审批手续齐全有效，各类标识符合要求。</w:t>
            </w:r>
          </w:p>
        </w:tc>
        <w:tc>
          <w:tcPr>
            <w:tcW w:w="2976" w:type="dxa"/>
            <w:vAlign w:val="center"/>
          </w:tcPr>
          <w:p>
            <w:pPr>
              <w:rPr>
                <w:rFonts w:hint="eastAsia" w:ascii="宋体" w:hAnsi="宋体" w:eastAsia="宋体"/>
                <w:szCs w:val="21"/>
                <w:lang w:eastAsia="zh-CN"/>
              </w:rPr>
            </w:pPr>
            <w:r>
              <w:rPr>
                <w:rFonts w:hint="eastAsia" w:ascii="宋体" w:hAnsi="宋体"/>
                <w:szCs w:val="21"/>
              </w:rPr>
              <w:t>提供完整的、经正式颁布实施的质量手册</w:t>
            </w:r>
            <w:r>
              <w:rPr>
                <w:rFonts w:hint="eastAsia" w:ascii="宋体" w:hAnsi="宋体"/>
                <w:szCs w:val="21"/>
                <w:lang w:eastAsia="zh-CN"/>
              </w:rPr>
              <w:t>、</w:t>
            </w:r>
            <w:r>
              <w:rPr>
                <w:rFonts w:hint="eastAsia" w:ascii="宋体" w:hAnsi="宋体"/>
                <w:szCs w:val="21"/>
              </w:rPr>
              <w:t>程序文件</w:t>
            </w:r>
            <w:r>
              <w:rPr>
                <w:rFonts w:hint="eastAsia" w:ascii="宋体" w:hAnsi="宋体"/>
                <w:szCs w:val="21"/>
                <w:lang w:eastAsia="zh-CN"/>
              </w:rPr>
              <w:t>、</w:t>
            </w:r>
            <w:r>
              <w:rPr>
                <w:rFonts w:hint="eastAsia" w:ascii="宋体" w:hAnsi="宋体"/>
                <w:szCs w:val="21"/>
              </w:rPr>
              <w:t>管理制度</w:t>
            </w:r>
            <w:r>
              <w:rPr>
                <w:rFonts w:hint="eastAsia" w:ascii="宋体" w:hAnsi="宋体"/>
                <w:szCs w:val="21"/>
                <w:lang w:eastAsia="zh-CN"/>
              </w:rPr>
              <w:t>、</w:t>
            </w:r>
            <w:r>
              <w:rPr>
                <w:rFonts w:hint="eastAsia" w:ascii="宋体" w:hAnsi="宋体"/>
                <w:szCs w:val="21"/>
              </w:rPr>
              <w:t>作业指导文件</w:t>
            </w:r>
            <w:r>
              <w:rPr>
                <w:rFonts w:hint="eastAsia" w:ascii="宋体" w:hAnsi="宋体"/>
                <w:szCs w:val="21"/>
                <w:lang w:eastAsia="zh-CN"/>
              </w:rPr>
              <w:t>和</w:t>
            </w:r>
            <w:r>
              <w:rPr>
                <w:rFonts w:hint="eastAsia" w:ascii="宋体" w:hAnsi="宋体"/>
                <w:szCs w:val="21"/>
              </w:rPr>
              <w:t>记录表格等</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jc w:val="center"/>
              <w:rPr>
                <w:rFonts w:ascii="宋体" w:hAnsi="宋体"/>
                <w:szCs w:val="21"/>
              </w:rPr>
            </w:pPr>
            <w:r>
              <w:rPr>
                <w:rFonts w:hint="eastAsia" w:ascii="宋体" w:hAnsi="宋体"/>
                <w:szCs w:val="21"/>
              </w:rPr>
              <w:t>质量手册的建立</w:t>
            </w:r>
          </w:p>
        </w:tc>
        <w:tc>
          <w:tcPr>
            <w:tcW w:w="4361" w:type="dxa"/>
            <w:vAlign w:val="center"/>
          </w:tcPr>
          <w:p>
            <w:pPr>
              <w:rPr>
                <w:rFonts w:hint="eastAsia" w:ascii="宋体" w:hAnsi="宋体" w:eastAsia="宋体"/>
                <w:szCs w:val="21"/>
                <w:lang w:eastAsia="zh-CN"/>
              </w:rPr>
            </w:pPr>
            <w:r>
              <w:rPr>
                <w:rFonts w:hint="eastAsia" w:ascii="宋体" w:hAnsi="宋体"/>
                <w:szCs w:val="21"/>
              </w:rPr>
              <w:t>质量管理手册应当包括质量方针与目标、适用范围、机构概述、组织机构、组织职责与隶属关系、岗位职责与权限、质量要素及关系描述、引用文件等</w:t>
            </w:r>
            <w:r>
              <w:rPr>
                <w:rFonts w:hint="eastAsia" w:ascii="宋体" w:hAnsi="宋体"/>
                <w:szCs w:val="21"/>
                <w:lang w:eastAsia="zh-CN"/>
              </w:rPr>
              <w:t>。</w:t>
            </w:r>
          </w:p>
        </w:tc>
        <w:tc>
          <w:tcPr>
            <w:tcW w:w="2976" w:type="dxa"/>
            <w:vAlign w:val="center"/>
          </w:tcPr>
          <w:p>
            <w:pPr>
              <w:rPr>
                <w:rFonts w:hint="eastAsia" w:ascii="宋体" w:hAnsi="宋体" w:eastAsia="宋体"/>
                <w:szCs w:val="21"/>
                <w:lang w:eastAsia="zh-CN"/>
              </w:rPr>
            </w:pPr>
            <w:r>
              <w:rPr>
                <w:rFonts w:hint="eastAsia" w:ascii="宋体" w:hAnsi="宋体"/>
                <w:szCs w:val="21"/>
              </w:rPr>
              <w:t>经正式颁布实施的质量手册</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3" w:hRule="atLeast"/>
        </w:trPr>
        <w:tc>
          <w:tcPr>
            <w:tcW w:w="1276" w:type="dxa"/>
            <w:vAlign w:val="center"/>
          </w:tcPr>
          <w:p>
            <w:pPr>
              <w:jc w:val="center"/>
              <w:rPr>
                <w:rFonts w:ascii="宋体" w:hAnsi="宋体"/>
                <w:szCs w:val="21"/>
              </w:rPr>
            </w:pPr>
            <w:r>
              <w:rPr>
                <w:rFonts w:hint="eastAsia" w:ascii="宋体" w:hAnsi="宋体"/>
                <w:szCs w:val="21"/>
              </w:rPr>
              <w:t>文件和记录控制</w:t>
            </w:r>
          </w:p>
        </w:tc>
        <w:tc>
          <w:tcPr>
            <w:tcW w:w="4361" w:type="dxa"/>
            <w:vAlign w:val="center"/>
          </w:tcPr>
          <w:p>
            <w:r>
              <w:rPr>
                <w:rFonts w:hint="eastAsia"/>
                <w:lang w:val="en-US" w:eastAsia="zh-CN"/>
              </w:rPr>
              <w:t>1、</w:t>
            </w:r>
            <w:r>
              <w:rPr>
                <w:rFonts w:hint="eastAsia"/>
              </w:rPr>
              <w:t>受控文件的类别确定，包括质量保证体系文件、外来文件，以及其他需要控制的文件等；</w:t>
            </w:r>
          </w:p>
          <w:p>
            <w:r>
              <w:rPr>
                <w:rFonts w:hint="eastAsia"/>
                <w:lang w:val="en-US" w:eastAsia="zh-CN"/>
              </w:rPr>
              <w:t>2、</w:t>
            </w:r>
            <w:r>
              <w:rPr>
                <w:rFonts w:hint="eastAsia"/>
              </w:rPr>
              <w:t xml:space="preserve">文件管理，包括编制、审核、批准、标识、发放、修改、回收，保管(方式、设施等)及其销毁的规定；其中外来文件控制还应当有收集(购买)、接收等规定；                                 </w:t>
            </w:r>
          </w:p>
          <w:p>
            <w:r>
              <w:rPr>
                <w:rFonts w:hint="eastAsia"/>
                <w:lang w:val="en-US" w:eastAsia="zh-CN"/>
              </w:rPr>
              <w:t>3、</w:t>
            </w:r>
            <w:r>
              <w:rPr>
                <w:rFonts w:hint="eastAsia"/>
              </w:rPr>
              <w:t>质量保证体系实施的相关部门、人员及场所使用的受控文件为有效版本的规定；</w:t>
            </w:r>
          </w:p>
          <w:p>
            <w:r>
              <w:rPr>
                <w:rFonts w:hint="eastAsia"/>
                <w:lang w:val="en-US" w:eastAsia="zh-CN"/>
              </w:rPr>
              <w:t>4、</w:t>
            </w:r>
            <w:r>
              <w:rPr>
                <w:rFonts w:hint="eastAsia"/>
              </w:rPr>
              <w:t>记录的填写、确认、收集、归档、保管与保存期限、销毁的规定；</w:t>
            </w:r>
          </w:p>
          <w:p>
            <w:r>
              <w:rPr>
                <w:rFonts w:hint="eastAsia"/>
                <w:lang w:val="en-US" w:eastAsia="zh-CN"/>
              </w:rPr>
              <w:t>5、</w:t>
            </w:r>
            <w:r>
              <w:rPr>
                <w:rFonts w:hint="eastAsia"/>
              </w:rPr>
              <w:t>质量保证体系实施部门、人员及场所使用相关受控记录表格有效版本的规定。</w:t>
            </w:r>
          </w:p>
        </w:tc>
        <w:tc>
          <w:tcPr>
            <w:tcW w:w="2976" w:type="dxa"/>
            <w:vAlign w:val="center"/>
          </w:tcPr>
          <w:p>
            <w:pPr>
              <w:rPr>
                <w:rFonts w:ascii="宋体" w:hAnsi="宋体"/>
                <w:szCs w:val="21"/>
              </w:rPr>
            </w:pPr>
            <w:r>
              <w:rPr>
                <w:rFonts w:hint="eastAsia" w:ascii="宋体" w:hAnsi="宋体"/>
                <w:szCs w:val="21"/>
                <w:lang w:val="en-US" w:eastAsia="zh-CN"/>
              </w:rPr>
              <w:t>1、</w:t>
            </w:r>
            <w:r>
              <w:rPr>
                <w:rFonts w:hint="eastAsia" w:ascii="宋体" w:hAnsi="宋体"/>
                <w:szCs w:val="21"/>
              </w:rPr>
              <w:t>编制和审批的见证材料；</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发放的见证材料；</w:t>
            </w:r>
          </w:p>
          <w:p>
            <w:pPr>
              <w:rPr>
                <w:rFonts w:ascii="宋体" w:hAnsi="宋体"/>
                <w:szCs w:val="21"/>
              </w:rPr>
            </w:pPr>
            <w:r>
              <w:rPr>
                <w:rFonts w:hint="eastAsia" w:ascii="宋体" w:hAnsi="宋体"/>
                <w:szCs w:val="21"/>
                <w:lang w:val="en-US" w:eastAsia="zh-CN"/>
              </w:rPr>
              <w:t>3、</w:t>
            </w:r>
            <w:r>
              <w:rPr>
                <w:rFonts w:hint="eastAsia" w:ascii="宋体" w:hAnsi="宋体"/>
                <w:szCs w:val="21"/>
              </w:rPr>
              <w:t>评审的见证材料；</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修订的见证材料；</w:t>
            </w:r>
          </w:p>
          <w:p>
            <w:pPr>
              <w:rPr>
                <w:rFonts w:ascii="宋体" w:hAnsi="宋体"/>
                <w:szCs w:val="21"/>
              </w:rPr>
            </w:pPr>
            <w:r>
              <w:rPr>
                <w:rFonts w:hint="eastAsia" w:ascii="宋体" w:hAnsi="宋体"/>
                <w:szCs w:val="21"/>
                <w:lang w:val="en-US" w:eastAsia="zh-CN"/>
              </w:rPr>
              <w:t>5、</w:t>
            </w:r>
            <w:r>
              <w:rPr>
                <w:rFonts w:hint="eastAsia" w:ascii="宋体" w:hAnsi="宋体"/>
                <w:szCs w:val="21"/>
              </w:rPr>
              <w:t>回收与作废的见证材料；</w:t>
            </w:r>
          </w:p>
          <w:p>
            <w:pPr>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外来文件控制的见证材料</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jc w:val="center"/>
              <w:rPr>
                <w:rFonts w:ascii="宋体" w:hAnsi="宋体"/>
                <w:szCs w:val="21"/>
              </w:rPr>
            </w:pPr>
            <w:r>
              <w:rPr>
                <w:rFonts w:hint="eastAsia" w:ascii="宋体" w:hAnsi="宋体"/>
                <w:szCs w:val="21"/>
              </w:rPr>
              <w:t>设备控制</w:t>
            </w:r>
          </w:p>
        </w:tc>
        <w:tc>
          <w:tcPr>
            <w:tcW w:w="4361" w:type="dxa"/>
            <w:vAlign w:val="center"/>
          </w:tcPr>
          <w:p>
            <w:pPr>
              <w:rPr>
                <w:rFonts w:ascii="宋体" w:hAnsi="宋体"/>
                <w:szCs w:val="21"/>
              </w:rPr>
            </w:pPr>
            <w:r>
              <w:rPr>
                <w:rFonts w:hint="eastAsia" w:ascii="宋体" w:hAnsi="宋体"/>
                <w:szCs w:val="21"/>
                <w:lang w:val="en-US" w:eastAsia="zh-CN"/>
              </w:rPr>
              <w:t>1、</w:t>
            </w:r>
            <w:r>
              <w:rPr>
                <w:rFonts w:hint="eastAsia" w:ascii="宋体" w:hAnsi="宋体"/>
                <w:szCs w:val="21"/>
              </w:rPr>
              <w:t>设备及设备上使用的安全附件控制，包括采购、验收、建档、操作、维护、使用环境、检定校准、检修、特种设备自行检查、报废等；</w:t>
            </w:r>
          </w:p>
          <w:p>
            <w:pPr>
              <w:rPr>
                <w:rFonts w:ascii="宋体" w:hAnsi="宋体"/>
                <w:szCs w:val="21"/>
              </w:rPr>
            </w:pPr>
            <w:r>
              <w:rPr>
                <w:rFonts w:hint="eastAsia" w:ascii="宋体" w:hAnsi="宋体"/>
                <w:szCs w:val="21"/>
                <w:lang w:val="en-US" w:eastAsia="zh-CN"/>
              </w:rPr>
              <w:t>2、</w:t>
            </w:r>
            <w:r>
              <w:rPr>
                <w:rFonts w:hint="eastAsia" w:ascii="宋体" w:hAnsi="宋体"/>
                <w:szCs w:val="21"/>
              </w:rPr>
              <w:t>设备档案管理(含装卸用管)，包括建立设备台账和档案，质量证明文件、使用说明书、使用记录、维护保养记录、校准检定计划，校准检定记录、报告等档案资料；</w:t>
            </w:r>
          </w:p>
          <w:p>
            <w:pPr>
              <w:rPr>
                <w:rFonts w:ascii="宋体" w:hAnsi="宋体"/>
                <w:szCs w:val="21"/>
              </w:rPr>
            </w:pPr>
            <w:r>
              <w:rPr>
                <w:rFonts w:hint="eastAsia" w:ascii="宋体" w:hAnsi="宋体"/>
                <w:szCs w:val="21"/>
                <w:lang w:val="en-US" w:eastAsia="zh-CN"/>
              </w:rPr>
              <w:t>3、</w:t>
            </w:r>
            <w:r>
              <w:rPr>
                <w:rFonts w:hint="eastAsia" w:ascii="宋体" w:hAnsi="宋体"/>
                <w:szCs w:val="21"/>
              </w:rPr>
              <w:t xml:space="preserve">设备状态控制，包括设备使用状态标识、检定校准标识、法定要求定期检验的设备检验报告等。 </w:t>
            </w:r>
          </w:p>
        </w:tc>
        <w:tc>
          <w:tcPr>
            <w:tcW w:w="2976" w:type="dxa"/>
            <w:vAlign w:val="center"/>
          </w:tcPr>
          <w:p>
            <w:r>
              <w:rPr>
                <w:rFonts w:hint="eastAsia"/>
                <w:lang w:val="en-US" w:eastAsia="zh-CN"/>
              </w:rPr>
              <w:t>1、</w:t>
            </w:r>
            <w:r>
              <w:rPr>
                <w:rFonts w:hint="eastAsia"/>
              </w:rPr>
              <w:t>采购、验收、建档、操作、维护、使用环境、检定校准、检修、特种设备自行检查、报废等；</w:t>
            </w:r>
          </w:p>
          <w:p>
            <w:pPr>
              <w:rPr>
                <w:rFonts w:hint="eastAsia"/>
              </w:rPr>
            </w:pPr>
            <w:r>
              <w:rPr>
                <w:rFonts w:hint="eastAsia"/>
                <w:lang w:val="en-US" w:eastAsia="zh-CN"/>
              </w:rPr>
              <w:t>2、</w:t>
            </w:r>
            <w:r>
              <w:rPr>
                <w:rFonts w:hint="eastAsia"/>
              </w:rPr>
              <w:t>设备台账和档案，质量证明文件、使用说明书、使用记录、维护保养记录、校准检定计划，校准检定记录、报告等档案资料；</w:t>
            </w:r>
          </w:p>
          <w:p>
            <w:pPr>
              <w:rPr>
                <w:rFonts w:hint="eastAsia" w:eastAsia="宋体"/>
                <w:lang w:eastAsia="zh-CN"/>
              </w:rPr>
            </w:pPr>
            <w:r>
              <w:rPr>
                <w:rFonts w:hint="eastAsia"/>
                <w:lang w:val="en-US" w:eastAsia="zh-CN"/>
              </w:rPr>
              <w:t>3、</w:t>
            </w:r>
            <w:r>
              <w:rPr>
                <w:rFonts w:hint="eastAsia"/>
              </w:rPr>
              <w:t>设备使用状态标识、检定校准标识、法定要求定期检验的设备检验报告等</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spacing w:line="280" w:lineRule="exact"/>
              <w:jc w:val="center"/>
              <w:rPr>
                <w:rFonts w:ascii="宋体" w:hAnsi="宋体"/>
                <w:szCs w:val="21"/>
              </w:rPr>
            </w:pPr>
            <w:r>
              <w:rPr>
                <w:rFonts w:hint="eastAsia" w:ascii="宋体" w:hAnsi="宋体" w:cs="宋体"/>
                <w:spacing w:val="8"/>
              </w:rPr>
              <w:t>充装介质检测控制</w:t>
            </w:r>
          </w:p>
        </w:tc>
        <w:tc>
          <w:tcPr>
            <w:tcW w:w="4361" w:type="dxa"/>
            <w:vAlign w:val="center"/>
          </w:tcPr>
          <w:p>
            <w:pPr>
              <w:rPr>
                <w:rFonts w:hint="eastAsia" w:ascii="宋体" w:hAnsi="宋体" w:eastAsia="宋体"/>
                <w:szCs w:val="21"/>
                <w:lang w:eastAsia="zh-CN"/>
              </w:rPr>
            </w:pPr>
            <w:r>
              <w:rPr>
                <w:rFonts w:hint="eastAsia" w:ascii="宋体" w:hAnsi="宋体" w:cs="宋体"/>
              </w:rPr>
              <w:t>查阅气体分析记录和报告</w:t>
            </w:r>
            <w:r>
              <w:rPr>
                <w:rFonts w:hint="eastAsia" w:ascii="宋体" w:hAnsi="宋体" w:cs="宋体"/>
                <w:lang w:eastAsia="zh-CN"/>
              </w:rPr>
              <w:t>。</w:t>
            </w:r>
          </w:p>
        </w:tc>
        <w:tc>
          <w:tcPr>
            <w:tcW w:w="2976" w:type="dxa"/>
            <w:vAlign w:val="center"/>
          </w:tcPr>
          <w:p>
            <w:pPr>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所购商品气体的成份报告</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jc w:val="center"/>
              <w:rPr>
                <w:rFonts w:ascii="宋体" w:hAnsi="宋体"/>
                <w:szCs w:val="21"/>
              </w:rPr>
            </w:pPr>
            <w:r>
              <w:rPr>
                <w:rFonts w:hint="eastAsia" w:ascii="宋体" w:hAnsi="宋体"/>
                <w:szCs w:val="21"/>
              </w:rPr>
              <w:t>人员管理</w:t>
            </w:r>
          </w:p>
        </w:tc>
        <w:tc>
          <w:tcPr>
            <w:tcW w:w="4361" w:type="dxa"/>
            <w:vAlign w:val="center"/>
          </w:tcPr>
          <w:p>
            <w:pPr>
              <w:rPr>
                <w:rFonts w:hint="eastAsia" w:ascii="宋体" w:hAnsi="宋体" w:cs="宋体"/>
              </w:rPr>
            </w:pPr>
            <w:r>
              <w:rPr>
                <w:rFonts w:hint="eastAsia" w:ascii="宋体" w:hAnsi="宋体" w:cs="宋体"/>
                <w:lang w:val="en-US" w:eastAsia="zh-CN"/>
              </w:rPr>
              <w:t>1、</w:t>
            </w:r>
            <w:r>
              <w:rPr>
                <w:rFonts w:hint="eastAsia" w:ascii="宋体" w:hAnsi="宋体" w:cs="宋体"/>
              </w:rPr>
              <w:t>人员培训要求、内容、计划和实施等；</w:t>
            </w:r>
          </w:p>
          <w:p>
            <w:pPr>
              <w:rPr>
                <w:rFonts w:ascii="宋体" w:hAnsi="宋体" w:cs="宋体"/>
              </w:rPr>
            </w:pPr>
            <w:r>
              <w:rPr>
                <w:rFonts w:hint="eastAsia" w:ascii="宋体" w:hAnsi="宋体" w:cs="宋体"/>
                <w:lang w:val="en-US" w:eastAsia="zh-CN"/>
              </w:rPr>
              <w:t>2、</w:t>
            </w:r>
            <w:r>
              <w:rPr>
                <w:rFonts w:hint="eastAsia" w:ascii="宋体" w:hAnsi="宋体" w:cs="宋体"/>
              </w:rPr>
              <w:t>人员培训和考核；</w:t>
            </w:r>
          </w:p>
          <w:p>
            <w:pPr>
              <w:rPr>
                <w:rFonts w:hint="eastAsia" w:ascii="宋体" w:hAnsi="宋体" w:cs="宋体"/>
              </w:rPr>
            </w:pPr>
            <w:r>
              <w:rPr>
                <w:rFonts w:hint="eastAsia" w:ascii="宋体" w:hAnsi="宋体" w:cs="宋体"/>
                <w:lang w:val="en-US" w:eastAsia="zh-CN"/>
              </w:rPr>
              <w:t>3、</w:t>
            </w:r>
            <w:r>
              <w:rPr>
                <w:rFonts w:hint="eastAsia" w:ascii="宋体" w:hAnsi="宋体" w:cs="宋体"/>
              </w:rPr>
              <w:t>特种设备相关人员持证上岗；</w:t>
            </w:r>
          </w:p>
          <w:p>
            <w:pPr>
              <w:rPr>
                <w:rFonts w:hint="eastAsia" w:ascii="宋体" w:hAnsi="宋体" w:eastAsia="宋体" w:cs="宋体"/>
                <w:lang w:eastAsia="zh-CN"/>
              </w:rPr>
            </w:pPr>
            <w:r>
              <w:rPr>
                <w:rFonts w:hint="eastAsia" w:ascii="宋体" w:hAnsi="宋体" w:cs="宋体"/>
                <w:lang w:val="en-US" w:eastAsia="zh-CN"/>
              </w:rPr>
              <w:t>4、</w:t>
            </w:r>
            <w:r>
              <w:rPr>
                <w:rFonts w:hint="eastAsia" w:ascii="宋体" w:hAnsi="宋体" w:cs="宋体"/>
              </w:rPr>
              <w:t>特种设备许可所要求的相关人员的聘用管理</w:t>
            </w:r>
            <w:r>
              <w:rPr>
                <w:rFonts w:hint="eastAsia" w:ascii="宋体" w:hAnsi="宋体" w:cs="宋体"/>
                <w:lang w:eastAsia="zh-CN"/>
              </w:rPr>
              <w:t>。</w:t>
            </w:r>
          </w:p>
        </w:tc>
        <w:tc>
          <w:tcPr>
            <w:tcW w:w="2976" w:type="dxa"/>
            <w:vAlign w:val="center"/>
          </w:tcPr>
          <w:p>
            <w:pPr>
              <w:rPr>
                <w:rFonts w:hint="eastAsia" w:ascii="宋体" w:hAnsi="宋体"/>
                <w:szCs w:val="21"/>
              </w:rPr>
            </w:pPr>
            <w:r>
              <w:rPr>
                <w:rFonts w:hint="eastAsia" w:ascii="宋体" w:hAnsi="宋体"/>
                <w:szCs w:val="21"/>
                <w:lang w:val="en-US" w:eastAsia="zh-CN"/>
              </w:rPr>
              <w:t>1、</w:t>
            </w:r>
            <w:r>
              <w:rPr>
                <w:rFonts w:hint="eastAsia" w:ascii="宋体" w:hAnsi="宋体"/>
                <w:szCs w:val="21"/>
              </w:rPr>
              <w:t>人员培训制度；</w:t>
            </w:r>
          </w:p>
          <w:p>
            <w:pPr>
              <w:rPr>
                <w:rFonts w:ascii="宋体" w:hAnsi="宋体"/>
                <w:szCs w:val="21"/>
              </w:rPr>
            </w:pPr>
            <w:r>
              <w:rPr>
                <w:rFonts w:hint="eastAsia" w:ascii="宋体" w:hAnsi="宋体"/>
                <w:szCs w:val="21"/>
                <w:lang w:val="en-US" w:eastAsia="zh-CN"/>
              </w:rPr>
              <w:t>2、</w:t>
            </w:r>
            <w:r>
              <w:rPr>
                <w:rFonts w:hint="eastAsia" w:ascii="宋体" w:hAnsi="宋体"/>
                <w:szCs w:val="21"/>
              </w:rPr>
              <w:t>人员培训和考核记录；</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相关人员资质证书；</w:t>
            </w:r>
          </w:p>
          <w:p>
            <w:pP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聘用合同、日常考核记录</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spacing w:line="280" w:lineRule="exact"/>
              <w:jc w:val="center"/>
              <w:rPr>
                <w:rFonts w:ascii="宋体" w:hAnsi="宋体"/>
                <w:szCs w:val="21"/>
              </w:rPr>
            </w:pPr>
            <w:r>
              <w:rPr>
                <w:rFonts w:hint="eastAsia" w:ascii="宋体" w:hAnsi="宋体" w:cs="宋体"/>
                <w:spacing w:val="8"/>
              </w:rPr>
              <w:t>充装工作质量</w:t>
            </w:r>
          </w:p>
        </w:tc>
        <w:tc>
          <w:tcPr>
            <w:tcW w:w="4361" w:type="dxa"/>
            <w:vAlign w:val="center"/>
          </w:tcPr>
          <w:p>
            <w:pPr>
              <w:rPr>
                <w:rFonts w:hint="eastAsia" w:ascii="宋体" w:hAnsi="宋体" w:cs="宋体"/>
                <w:lang w:val="en-US" w:eastAsia="zh-CN"/>
              </w:rPr>
            </w:pPr>
            <w:r>
              <w:rPr>
                <w:rFonts w:hint="eastAsia" w:ascii="宋体" w:hAnsi="宋体" w:cs="宋体"/>
                <w:lang w:val="en-US" w:eastAsia="zh-CN"/>
              </w:rPr>
              <w:t>1、</w:t>
            </w:r>
            <w:r>
              <w:rPr>
                <w:rFonts w:hint="eastAsia" w:ascii="宋体" w:hAnsi="宋体" w:cs="宋体"/>
              </w:rPr>
              <w:t>充装工作流程；</w:t>
            </w:r>
          </w:p>
          <w:p>
            <w:pPr>
              <w:rPr>
                <w:rFonts w:ascii="宋体" w:hAnsi="宋体" w:cs="宋体"/>
              </w:rPr>
            </w:pPr>
            <w:r>
              <w:rPr>
                <w:rFonts w:hint="eastAsia" w:ascii="宋体" w:hAnsi="宋体" w:cs="宋体"/>
                <w:lang w:val="en-US" w:eastAsia="zh-CN"/>
              </w:rPr>
              <w:t>2、</w:t>
            </w:r>
            <w:r>
              <w:rPr>
                <w:rFonts w:hint="eastAsia" w:ascii="宋体" w:hAnsi="宋体" w:cs="宋体"/>
              </w:rPr>
              <w:t>充装前，应当对移动式压力容器逐台进行检查，未经检查合格的移动式压力容器，不得进行充装作业；</w:t>
            </w:r>
          </w:p>
          <w:p>
            <w:pPr>
              <w:rPr>
                <w:rFonts w:hint="eastAsia" w:ascii="宋体" w:hAnsi="宋体" w:cs="宋体"/>
              </w:rPr>
            </w:pPr>
            <w:r>
              <w:rPr>
                <w:rFonts w:hint="eastAsia" w:ascii="宋体" w:hAnsi="宋体" w:cs="宋体"/>
                <w:lang w:val="en-US" w:eastAsia="zh-CN"/>
              </w:rPr>
              <w:t>3、</w:t>
            </w:r>
            <w:r>
              <w:rPr>
                <w:rFonts w:hint="eastAsia" w:ascii="宋体" w:hAnsi="宋体" w:cs="宋体"/>
              </w:rPr>
              <w:t>充装过程应当按照充装操作规程进行，充装人员必须持证上岗，安全管理人员应当进行巡回检查；</w:t>
            </w:r>
          </w:p>
          <w:p>
            <w:pPr>
              <w:rPr>
                <w:rFonts w:ascii="宋体" w:hAnsi="宋体" w:cs="宋体"/>
              </w:rPr>
            </w:pPr>
            <w:r>
              <w:rPr>
                <w:rFonts w:hint="eastAsia" w:ascii="宋体" w:hAnsi="宋体" w:cs="宋体"/>
                <w:lang w:val="en-US" w:eastAsia="zh-CN"/>
              </w:rPr>
              <w:t>4、</w:t>
            </w:r>
            <w:r>
              <w:rPr>
                <w:rFonts w:hint="eastAsia" w:ascii="宋体" w:hAnsi="宋体" w:cs="宋体"/>
              </w:rPr>
              <w:t>充装量(或者充装压力)不得超过核准的最大充装量(或者充装压力)，严禁超装、错装；</w:t>
            </w:r>
          </w:p>
          <w:p>
            <w:pPr>
              <w:rPr>
                <w:rFonts w:ascii="宋体" w:hAnsi="宋体" w:cs="宋体"/>
              </w:rPr>
            </w:pPr>
            <w:r>
              <w:rPr>
                <w:rFonts w:hint="eastAsia" w:ascii="宋体" w:hAnsi="宋体" w:cs="宋体"/>
              </w:rPr>
              <w:t>应当按照操作规程对充装后的移动式压力容器进行检查；</w:t>
            </w:r>
          </w:p>
          <w:p>
            <w:pPr>
              <w:rPr>
                <w:rFonts w:ascii="宋体" w:hAnsi="宋体" w:cs="宋体"/>
              </w:rPr>
            </w:pPr>
            <w:r>
              <w:rPr>
                <w:rFonts w:hint="eastAsia" w:ascii="宋体" w:hAnsi="宋体" w:cs="宋体"/>
                <w:lang w:val="en-US" w:eastAsia="zh-CN"/>
              </w:rPr>
              <w:t>5、</w:t>
            </w:r>
            <w:r>
              <w:rPr>
                <w:rFonts w:hint="eastAsia" w:ascii="宋体" w:hAnsi="宋体" w:cs="宋体"/>
              </w:rPr>
              <w:t>做好充装前后安全检验记录和充装记录</w:t>
            </w:r>
          </w:p>
        </w:tc>
        <w:tc>
          <w:tcPr>
            <w:tcW w:w="2976" w:type="dxa"/>
            <w:vAlign w:val="center"/>
          </w:tcPr>
          <w:p>
            <w:pPr>
              <w:rPr>
                <w:rFonts w:ascii="宋体" w:hAnsi="宋体"/>
                <w:szCs w:val="21"/>
              </w:rPr>
            </w:pPr>
            <w:r>
              <w:rPr>
                <w:rFonts w:hint="eastAsia" w:ascii="宋体" w:hAnsi="宋体"/>
                <w:szCs w:val="21"/>
                <w:lang w:val="en-US" w:eastAsia="zh-CN"/>
              </w:rPr>
              <w:t>1、</w:t>
            </w:r>
            <w:r>
              <w:rPr>
                <w:rFonts w:hint="eastAsia" w:ascii="宋体" w:hAnsi="宋体"/>
                <w:szCs w:val="21"/>
              </w:rPr>
              <w:t>充装规程；</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充装记录；</w:t>
            </w:r>
          </w:p>
          <w:p>
            <w:pPr>
              <w:rPr>
                <w:rFonts w:ascii="宋体" w:hAnsi="宋体"/>
                <w:szCs w:val="21"/>
              </w:rPr>
            </w:pPr>
            <w:r>
              <w:rPr>
                <w:rFonts w:hint="eastAsia" w:ascii="宋体" w:hAnsi="宋体"/>
                <w:szCs w:val="21"/>
                <w:lang w:val="en-US" w:eastAsia="zh-CN"/>
              </w:rPr>
              <w:t>3、</w:t>
            </w:r>
            <w:r>
              <w:rPr>
                <w:rFonts w:hint="eastAsia" w:ascii="宋体" w:hAnsi="宋体"/>
                <w:szCs w:val="21"/>
              </w:rPr>
              <w:t>充装前后检查记录；</w:t>
            </w:r>
          </w:p>
          <w:p>
            <w:pP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提供1-3台移动式压力容器进行现场充装</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jc w:val="center"/>
              <w:rPr>
                <w:rFonts w:ascii="宋体" w:hAnsi="宋体"/>
                <w:szCs w:val="21"/>
              </w:rPr>
            </w:pPr>
            <w:r>
              <w:rPr>
                <w:rFonts w:hint="eastAsia" w:ascii="宋体" w:hAnsi="宋体"/>
                <w:szCs w:val="21"/>
              </w:rPr>
              <w:t>信息追踪和质量服务</w:t>
            </w:r>
          </w:p>
        </w:tc>
        <w:tc>
          <w:tcPr>
            <w:tcW w:w="4361" w:type="dxa"/>
            <w:vAlign w:val="center"/>
          </w:tcPr>
          <w:p>
            <w:pPr>
              <w:rPr>
                <w:rFonts w:hint="eastAsia" w:ascii="宋体" w:hAnsi="宋体" w:cs="宋体"/>
              </w:rPr>
            </w:pPr>
            <w:r>
              <w:rPr>
                <w:rFonts w:hint="eastAsia" w:ascii="宋体" w:hAnsi="宋体" w:cs="宋体"/>
                <w:lang w:val="en-US" w:eastAsia="zh-CN"/>
              </w:rPr>
              <w:t>1、</w:t>
            </w:r>
            <w:r>
              <w:rPr>
                <w:rFonts w:hint="eastAsia" w:ascii="宋体" w:hAnsi="宋体" w:cs="宋体"/>
              </w:rPr>
              <w:t>充装单位应当将与充装有关的信息按照特种设备信息化要求，及时上传至全国移动式压力容器公共服务信息追溯平台，充装记录的内容应当真实有效；</w:t>
            </w:r>
          </w:p>
          <w:p>
            <w:pPr>
              <w:rPr>
                <w:rFonts w:ascii="宋体" w:hAnsi="宋体" w:cs="宋体"/>
              </w:rPr>
            </w:pPr>
            <w:r>
              <w:rPr>
                <w:rFonts w:hint="eastAsia" w:ascii="宋体" w:hAnsi="宋体" w:cs="宋体"/>
                <w:lang w:val="en-US" w:eastAsia="zh-CN"/>
              </w:rPr>
              <w:t>2、</w:t>
            </w:r>
            <w:r>
              <w:rPr>
                <w:rFonts w:hint="eastAsia" w:ascii="宋体" w:hAnsi="宋体" w:cs="宋体"/>
              </w:rPr>
              <w:t>充装单位应当建立健全移动式压力容器充装过程的安全追溯系统，并且有效实施管理；</w:t>
            </w:r>
          </w:p>
          <w:p>
            <w:pPr>
              <w:rPr>
                <w:rFonts w:ascii="宋体" w:hAnsi="宋体" w:cs="宋体"/>
              </w:rPr>
            </w:pPr>
            <w:r>
              <w:rPr>
                <w:rFonts w:hint="eastAsia" w:ascii="宋体" w:hAnsi="宋体" w:cs="宋体"/>
                <w:lang w:val="en-US" w:eastAsia="zh-CN"/>
              </w:rPr>
              <w:t>3、</w:t>
            </w:r>
            <w:r>
              <w:rPr>
                <w:rFonts w:hint="eastAsia" w:ascii="宋体" w:hAnsi="宋体" w:cs="宋体"/>
              </w:rPr>
              <w:t>充装单位应当按照《移动式压力容器安全技术监察规程》的规定，向介质买受方提交充装证明资料。</w:t>
            </w:r>
          </w:p>
        </w:tc>
        <w:tc>
          <w:tcPr>
            <w:tcW w:w="2976" w:type="dxa"/>
            <w:vAlign w:val="center"/>
          </w:tcPr>
          <w:p>
            <w:pPr>
              <w:rPr>
                <w:rFonts w:hint="eastAsia" w:ascii="宋体" w:hAnsi="宋体"/>
                <w:szCs w:val="21"/>
              </w:rPr>
            </w:pPr>
            <w:r>
              <w:rPr>
                <w:rFonts w:hint="eastAsia" w:ascii="宋体" w:hAnsi="宋体"/>
                <w:szCs w:val="21"/>
                <w:lang w:val="en-US" w:eastAsia="zh-CN"/>
              </w:rPr>
              <w:t>1、</w:t>
            </w:r>
            <w:r>
              <w:rPr>
                <w:rFonts w:hint="eastAsia" w:ascii="宋体" w:hAnsi="宋体"/>
                <w:szCs w:val="21"/>
              </w:rPr>
              <w:t>系统的运行记录；</w:t>
            </w:r>
          </w:p>
          <w:p>
            <w:pPr>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提供充装证明资料</w:t>
            </w:r>
            <w:r>
              <w:rPr>
                <w:rFonts w:hint="eastAsia" w:ascii="宋体" w:hAnsi="宋体"/>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执行特种设备许可制度</w:t>
            </w:r>
          </w:p>
        </w:tc>
        <w:tc>
          <w:tcPr>
            <w:tcW w:w="4361" w:type="dxa"/>
            <w:vAlign w:val="center"/>
          </w:tcPr>
          <w:p>
            <w:pPr>
              <w:rPr>
                <w:rFonts w:ascii="宋体" w:hAnsi="宋体" w:cs="宋体"/>
              </w:rPr>
            </w:pPr>
            <w:r>
              <w:rPr>
                <w:rFonts w:hint="eastAsia" w:ascii="宋体" w:hAnsi="宋体" w:cs="宋体"/>
                <w:lang w:val="en-US" w:eastAsia="zh-CN"/>
              </w:rPr>
              <w:t>1、</w:t>
            </w:r>
            <w:r>
              <w:rPr>
                <w:rFonts w:hint="eastAsia" w:ascii="宋体" w:hAnsi="宋体" w:cs="宋体"/>
              </w:rPr>
              <w:t>执行特种设备许可制度；</w:t>
            </w:r>
          </w:p>
          <w:p>
            <w:pPr>
              <w:rPr>
                <w:rFonts w:hint="eastAsia" w:ascii="宋体" w:hAnsi="宋体" w:cs="宋体"/>
              </w:rPr>
            </w:pPr>
            <w:r>
              <w:rPr>
                <w:rFonts w:hint="eastAsia" w:ascii="宋体" w:hAnsi="宋体" w:cs="宋体"/>
                <w:lang w:val="en-US" w:eastAsia="zh-CN"/>
              </w:rPr>
              <w:t>2、</w:t>
            </w:r>
            <w:r>
              <w:rPr>
                <w:rFonts w:hint="eastAsia" w:ascii="宋体" w:hAnsi="宋体" w:cs="宋体"/>
              </w:rPr>
              <w:t>接受各级特种设备安全监管部门的监督；</w:t>
            </w:r>
          </w:p>
          <w:p>
            <w:pPr>
              <w:rPr>
                <w:rFonts w:ascii="宋体" w:hAnsi="宋体" w:cs="宋体"/>
              </w:rPr>
            </w:pPr>
            <w:r>
              <w:rPr>
                <w:rFonts w:hint="eastAsia" w:ascii="宋体" w:hAnsi="宋体" w:cs="宋体"/>
                <w:lang w:val="en-US" w:eastAsia="zh-CN"/>
              </w:rPr>
              <w:t>3、</w:t>
            </w:r>
            <w:r>
              <w:rPr>
                <w:rFonts w:hint="eastAsia" w:ascii="宋体" w:hAnsi="宋体" w:cs="宋体"/>
              </w:rPr>
              <w:t>接受定期检验，包括满足法规、安全技术规范对特种设备及安全附件的定期检验或者校验的要求；</w:t>
            </w:r>
          </w:p>
          <w:p>
            <w:pPr>
              <w:rPr>
                <w:rFonts w:hint="eastAsia" w:ascii="宋体" w:hAnsi="宋体" w:eastAsia="宋体" w:cs="宋体"/>
                <w:lang w:eastAsia="zh-CN"/>
              </w:rPr>
            </w:pPr>
            <w:r>
              <w:rPr>
                <w:rFonts w:hint="eastAsia" w:ascii="宋体" w:hAnsi="宋体" w:cs="宋体"/>
                <w:lang w:val="en-US" w:eastAsia="zh-CN"/>
              </w:rPr>
              <w:t>4、</w:t>
            </w:r>
            <w:r>
              <w:rPr>
                <w:rFonts w:hint="eastAsia" w:ascii="宋体" w:hAnsi="宋体" w:cs="宋体"/>
              </w:rPr>
              <w:t>特种设备许可证管理，包括遵守相关法律、法规和安全技术规范的规定，购买、使用和充装具有许可证的单位制造的特种设备及其安全附件的规定</w:t>
            </w:r>
            <w:r>
              <w:rPr>
                <w:rFonts w:hint="eastAsia" w:ascii="宋体" w:hAnsi="宋体" w:cs="宋体"/>
                <w:lang w:eastAsia="zh-CN"/>
              </w:rPr>
              <w:t>。</w:t>
            </w:r>
          </w:p>
        </w:tc>
        <w:tc>
          <w:tcPr>
            <w:tcW w:w="2976" w:type="dxa"/>
            <w:vAlign w:val="center"/>
          </w:tcPr>
          <w:p>
            <w:pPr>
              <w:rPr>
                <w:rFonts w:hint="eastAsia" w:ascii="宋体" w:hAnsi="宋体"/>
                <w:szCs w:val="21"/>
              </w:rPr>
            </w:pPr>
            <w:r>
              <w:rPr>
                <w:rFonts w:hint="eastAsia" w:ascii="宋体" w:hAnsi="宋体"/>
                <w:szCs w:val="21"/>
                <w:lang w:val="en-US" w:eastAsia="zh-CN"/>
              </w:rPr>
              <w:t>1、</w:t>
            </w:r>
            <w:r>
              <w:rPr>
                <w:rFonts w:hint="eastAsia" w:ascii="宋体" w:hAnsi="宋体"/>
                <w:szCs w:val="21"/>
              </w:rPr>
              <w:t>提供制度文件；</w:t>
            </w:r>
          </w:p>
          <w:p>
            <w:pPr>
              <w:rPr>
                <w:rFonts w:ascii="宋体" w:hAnsi="宋体"/>
                <w:szCs w:val="21"/>
              </w:rPr>
            </w:pPr>
            <w:r>
              <w:rPr>
                <w:rFonts w:hint="eastAsia" w:ascii="宋体" w:hAnsi="宋体"/>
                <w:szCs w:val="21"/>
                <w:lang w:val="en-US" w:eastAsia="zh-CN"/>
              </w:rPr>
              <w:t>2、</w:t>
            </w:r>
            <w:r>
              <w:rPr>
                <w:rFonts w:hint="eastAsia" w:ascii="宋体" w:hAnsi="宋体"/>
                <w:szCs w:val="21"/>
              </w:rPr>
              <w:t>监督检查及整改记录；</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特种设备及附件的定期检验和校验报告；</w:t>
            </w:r>
          </w:p>
          <w:p>
            <w:pP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现场抽查相关特种设备的资料</w:t>
            </w:r>
            <w:r>
              <w:rPr>
                <w:rFonts w:hint="eastAsia" w:ascii="宋体" w:hAnsi="宋体"/>
                <w:szCs w:val="21"/>
                <w:lang w:eastAsia="zh-CN"/>
              </w:rPr>
              <w:t>。</w:t>
            </w:r>
          </w:p>
        </w:tc>
      </w:tr>
    </w:tbl>
    <w:p>
      <w:pPr>
        <w:rPr>
          <w:rFonts w:ascii="宋体" w:hAnsi="宋体"/>
          <w:szCs w:val="21"/>
        </w:rPr>
      </w:pPr>
      <w:r>
        <w:rPr>
          <w:rFonts w:hint="eastAsia" w:ascii="宋体" w:hAnsi="宋体"/>
          <w:szCs w:val="21"/>
        </w:rPr>
        <w:t>注：属于延续核准的申请单位应当提供上次核准以来的近4年质量体系运行见证材料；属于首次核准的申请单位应当提供证明质量体系已经有效运行的见证材料。</w:t>
      </w:r>
    </w:p>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5</w:t>
      </w:r>
      <w:r>
        <w:rPr>
          <w:rFonts w:hint="eastAsia" w:ascii="宋体" w:hAnsi="宋体" w:cs="黑体"/>
          <w:b/>
          <w:sz w:val="24"/>
        </w:rPr>
        <w:t>.3充装能力方面</w:t>
      </w:r>
    </w:p>
    <w:p>
      <w:pPr>
        <w:spacing w:line="360" w:lineRule="auto"/>
        <w:rPr>
          <w:rFonts w:ascii="宋体" w:hAnsi="宋体"/>
          <w:sz w:val="24"/>
        </w:rPr>
      </w:pPr>
      <w:r>
        <w:rPr>
          <w:rFonts w:hint="eastAsia" w:ascii="宋体" w:hAnsi="宋体"/>
          <w:sz w:val="24"/>
        </w:rPr>
        <w:t>充装能力评价需要提供的见证材料及要求见表3：</w:t>
      </w:r>
    </w:p>
    <w:p>
      <w:pPr>
        <w:spacing w:line="360" w:lineRule="auto"/>
        <w:jc w:val="center"/>
        <w:rPr>
          <w:rFonts w:ascii="宋体" w:hAnsi="宋体"/>
          <w:b/>
          <w:sz w:val="24"/>
        </w:rPr>
      </w:pPr>
      <w:r>
        <w:rPr>
          <w:rFonts w:hint="eastAsia" w:ascii="宋体" w:hAnsi="宋体"/>
          <w:b/>
          <w:sz w:val="24"/>
        </w:rPr>
        <w:t>表3  充装能力评价见证材料及要求</w:t>
      </w:r>
    </w:p>
    <w:tbl>
      <w:tblPr>
        <w:tblStyle w:val="19"/>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3010"/>
        <w:gridCol w:w="4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jc w:val="center"/>
              <w:rPr>
                <w:rFonts w:ascii="宋体" w:hAnsi="宋体"/>
                <w:szCs w:val="21"/>
              </w:rPr>
            </w:pPr>
            <w:r>
              <w:rPr>
                <w:rFonts w:hint="eastAsia" w:ascii="宋体" w:hAnsi="宋体"/>
                <w:szCs w:val="21"/>
              </w:rPr>
              <w:t>评审项目</w:t>
            </w:r>
          </w:p>
        </w:tc>
        <w:tc>
          <w:tcPr>
            <w:tcW w:w="3010" w:type="dxa"/>
            <w:vAlign w:val="center"/>
          </w:tcPr>
          <w:p>
            <w:pPr>
              <w:jc w:val="center"/>
              <w:rPr>
                <w:rFonts w:ascii="宋体" w:hAnsi="宋体"/>
                <w:szCs w:val="21"/>
              </w:rPr>
            </w:pPr>
            <w:r>
              <w:rPr>
                <w:rFonts w:hint="eastAsia" w:ascii="宋体" w:hAnsi="宋体"/>
                <w:szCs w:val="21"/>
              </w:rPr>
              <w:t>评审内容与要求</w:t>
            </w:r>
          </w:p>
        </w:tc>
        <w:tc>
          <w:tcPr>
            <w:tcW w:w="4077"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充装工作质量</w:t>
            </w:r>
          </w:p>
        </w:tc>
        <w:tc>
          <w:tcPr>
            <w:tcW w:w="3010" w:type="dxa"/>
            <w:vAlign w:val="center"/>
          </w:tcPr>
          <w:p>
            <w:pPr>
              <w:rPr>
                <w:rFonts w:ascii="宋体" w:hAnsi="宋体"/>
                <w:szCs w:val="21"/>
              </w:rPr>
            </w:pPr>
            <w:r>
              <w:rPr>
                <w:rFonts w:hint="eastAsia" w:ascii="宋体" w:hAnsi="宋体" w:cs="宋体"/>
              </w:rPr>
              <w:t>充装工作应当符合《移动式压力容器安全技术监察规程》的规定，严格进行充装前检查、充装过程控制、充装后检查和充装量复检，并且按照其规定进行记录，向介质买受方提交证明资料。</w:t>
            </w:r>
          </w:p>
        </w:tc>
        <w:tc>
          <w:tcPr>
            <w:tcW w:w="4077" w:type="dxa"/>
            <w:vAlign w:val="center"/>
          </w:tcPr>
          <w:p>
            <w:pPr>
              <w:rPr>
                <w:rFonts w:hint="eastAsia"/>
              </w:rPr>
            </w:pPr>
            <w:r>
              <w:rPr>
                <w:rFonts w:hint="eastAsia"/>
                <w:lang w:val="en-US" w:eastAsia="zh-CN"/>
              </w:rPr>
              <w:t>1、</w:t>
            </w:r>
            <w:r>
              <w:rPr>
                <w:rFonts w:hint="eastAsia"/>
              </w:rPr>
              <w:t>单位在职持证人员名册；</w:t>
            </w:r>
          </w:p>
          <w:p>
            <w:r>
              <w:rPr>
                <w:rFonts w:hint="eastAsia"/>
                <w:lang w:val="en-US" w:eastAsia="zh-CN"/>
              </w:rPr>
              <w:t>2、</w:t>
            </w:r>
            <w:r>
              <w:rPr>
                <w:rFonts w:hint="eastAsia"/>
              </w:rPr>
              <w:t>关键岗位人员任命文件；</w:t>
            </w:r>
          </w:p>
          <w:p>
            <w:pPr>
              <w:rPr>
                <w:rFonts w:hint="eastAsia"/>
              </w:rPr>
            </w:pPr>
            <w:r>
              <w:rPr>
                <w:rFonts w:hint="eastAsia"/>
                <w:lang w:val="en-US" w:eastAsia="zh-CN"/>
              </w:rPr>
              <w:t>3、</w:t>
            </w:r>
            <w:r>
              <w:rPr>
                <w:rFonts w:hint="eastAsia"/>
              </w:rPr>
              <w:t>充装规程；</w:t>
            </w:r>
          </w:p>
          <w:p>
            <w:r>
              <w:rPr>
                <w:rFonts w:hint="eastAsia"/>
                <w:lang w:val="en-US" w:eastAsia="zh-CN"/>
              </w:rPr>
              <w:t>4、</w:t>
            </w:r>
            <w:r>
              <w:rPr>
                <w:rFonts w:hint="eastAsia"/>
              </w:rPr>
              <w:t>充装记录；</w:t>
            </w:r>
          </w:p>
          <w:p>
            <w:pPr>
              <w:rPr>
                <w:rFonts w:hint="eastAsia"/>
              </w:rPr>
            </w:pPr>
            <w:r>
              <w:rPr>
                <w:rFonts w:hint="eastAsia"/>
                <w:lang w:val="en-US" w:eastAsia="zh-CN"/>
              </w:rPr>
              <w:t>5、</w:t>
            </w:r>
            <w:r>
              <w:rPr>
                <w:rFonts w:hint="eastAsia"/>
              </w:rPr>
              <w:t>充装前后检查记录；</w:t>
            </w:r>
          </w:p>
          <w:p>
            <w:pPr>
              <w:rPr>
                <w:rFonts w:hint="eastAsia" w:eastAsia="宋体"/>
                <w:lang w:eastAsia="zh-CN"/>
              </w:rPr>
            </w:pPr>
            <w:r>
              <w:rPr>
                <w:rFonts w:hint="eastAsia"/>
                <w:lang w:val="en-US" w:eastAsia="zh-CN"/>
              </w:rPr>
              <w:t>6、</w:t>
            </w:r>
            <w:r>
              <w:rPr>
                <w:rFonts w:hint="eastAsia"/>
              </w:rPr>
              <w:t>安全宣传资料</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能力验证结果</w:t>
            </w:r>
          </w:p>
        </w:tc>
        <w:tc>
          <w:tcPr>
            <w:tcW w:w="3010" w:type="dxa"/>
            <w:vAlign w:val="center"/>
          </w:tcPr>
          <w:p>
            <w:pPr>
              <w:rPr>
                <w:rFonts w:hint="eastAsia" w:ascii="宋体" w:hAnsi="宋体" w:eastAsia="宋体"/>
                <w:szCs w:val="21"/>
                <w:lang w:eastAsia="zh-CN"/>
              </w:rPr>
            </w:pPr>
            <w:r>
              <w:rPr>
                <w:rFonts w:hint="eastAsia" w:ascii="宋体" w:hAnsi="宋体"/>
                <w:szCs w:val="21"/>
              </w:rPr>
              <w:t>查验与采信能力验证结果</w:t>
            </w:r>
            <w:r>
              <w:rPr>
                <w:rFonts w:hint="eastAsia" w:ascii="宋体" w:hAnsi="宋体"/>
                <w:szCs w:val="21"/>
                <w:lang w:eastAsia="zh-CN"/>
              </w:rPr>
              <w:t>。</w:t>
            </w:r>
          </w:p>
        </w:tc>
        <w:tc>
          <w:tcPr>
            <w:tcW w:w="4077" w:type="dxa"/>
            <w:vAlign w:val="center"/>
          </w:tcPr>
          <w:p>
            <w:pPr>
              <w:rPr>
                <w:rFonts w:hint="eastAsia" w:ascii="宋体" w:hAnsi="宋体"/>
                <w:szCs w:val="21"/>
              </w:rPr>
            </w:pPr>
            <w:r>
              <w:rPr>
                <w:rFonts w:hint="eastAsia" w:ascii="宋体" w:hAnsi="宋体"/>
                <w:szCs w:val="21"/>
                <w:lang w:val="en-US" w:eastAsia="zh-CN"/>
              </w:rPr>
              <w:t>1、</w:t>
            </w:r>
            <w:r>
              <w:rPr>
                <w:rFonts w:hint="eastAsia" w:ascii="宋体" w:hAnsi="宋体"/>
                <w:szCs w:val="21"/>
              </w:rPr>
              <w:t>能力验证公函或公文；</w:t>
            </w:r>
          </w:p>
          <w:p>
            <w:pPr>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能力验证结果证明材料等</w:t>
            </w:r>
            <w:r>
              <w:rPr>
                <w:rFonts w:hint="eastAsia" w:ascii="宋体" w:hAnsi="宋体"/>
                <w:szCs w:val="21"/>
                <w:lang w:eastAsia="zh-CN"/>
              </w:rPr>
              <w:t>。</w:t>
            </w:r>
          </w:p>
        </w:tc>
      </w:tr>
    </w:tbl>
    <w:p>
      <w:pPr>
        <w:tabs>
          <w:tab w:val="left" w:pos="2490"/>
        </w:tabs>
        <w:spacing w:line="480" w:lineRule="auto"/>
        <w:outlineLvl w:val="0"/>
        <w:rPr>
          <w:rFonts w:hint="eastAsia" w:ascii="宋体" w:hAnsi="宋体" w:cs="黑体"/>
          <w:b/>
          <w:sz w:val="24"/>
        </w:rPr>
      </w:pPr>
      <w:r>
        <w:rPr>
          <w:rFonts w:hint="eastAsia" w:ascii="宋体" w:hAnsi="宋体" w:cs="黑体"/>
          <w:b/>
          <w:sz w:val="24"/>
          <w:lang w:val="en-US" w:eastAsia="zh-CN"/>
        </w:rPr>
        <w:t xml:space="preserve">6  </w:t>
      </w:r>
      <w:r>
        <w:rPr>
          <w:rFonts w:hint="eastAsia" w:ascii="宋体" w:hAnsi="宋体" w:cs="黑体"/>
          <w:b/>
          <w:sz w:val="24"/>
        </w:rPr>
        <w:t>需要提交评审机构的资料</w:t>
      </w:r>
    </w:p>
    <w:p>
      <w:pPr>
        <w:spacing w:line="500" w:lineRule="exact"/>
        <w:ind w:firstLine="480" w:firstLineChars="200"/>
        <w:rPr>
          <w:rFonts w:ascii="Calibri" w:hAnsi="Calibri"/>
          <w:sz w:val="24"/>
          <w:szCs w:val="24"/>
        </w:rPr>
      </w:pPr>
      <w:r>
        <w:rPr>
          <w:rFonts w:hint="eastAsia" w:ascii="Calibri" w:hAnsi="Calibri"/>
          <w:sz w:val="24"/>
          <w:szCs w:val="24"/>
        </w:rPr>
        <w:t>申请单位在接到鉴定评审机构的《特种设备鉴定评审通知函》后，应立即与评审组长取得联系，并向评审组提交如下见证材料，材料必须是原件的复印件或扫描件且</w:t>
      </w:r>
      <w:r>
        <w:rPr>
          <w:rFonts w:hint="eastAsia" w:ascii="Calibri" w:hAnsi="Calibri" w:eastAsia="宋体" w:cs="Times New Roman"/>
          <w:sz w:val="24"/>
          <w:szCs w:val="24"/>
        </w:rPr>
        <w:t>装订成册</w:t>
      </w:r>
      <w:r>
        <w:rPr>
          <w:rFonts w:hint="eastAsia" w:ascii="Calibri" w:hAnsi="Calibri"/>
          <w:sz w:val="24"/>
          <w:szCs w:val="24"/>
        </w:rPr>
        <w:t>：</w:t>
      </w:r>
    </w:p>
    <w:p>
      <w:pPr>
        <w:spacing w:line="500" w:lineRule="exact"/>
        <w:rPr>
          <w:rFonts w:ascii="Calibri" w:hAnsi="Calibri" w:eastAsia="宋体" w:cs="Times New Roman"/>
          <w:sz w:val="24"/>
          <w:szCs w:val="24"/>
        </w:rPr>
      </w:pPr>
      <w:r>
        <w:rPr>
          <w:rFonts w:hint="eastAsia" w:ascii="Calibri" w:hAnsi="Calibri"/>
          <w:sz w:val="24"/>
          <w:szCs w:val="24"/>
        </w:rPr>
        <w:t>（1）</w:t>
      </w:r>
      <w:r>
        <w:rPr>
          <w:rFonts w:hint="eastAsia" w:ascii="Calibri" w:hAnsi="Calibri" w:eastAsia="宋体" w:cs="Times New Roman"/>
          <w:sz w:val="24"/>
          <w:szCs w:val="24"/>
        </w:rPr>
        <w:t>社会统一信用代码证（营业执照）</w:t>
      </w:r>
      <w:r>
        <w:rPr>
          <w:rFonts w:hint="eastAsia" w:ascii="Calibri" w:hAnsi="Calibri"/>
          <w:sz w:val="24"/>
          <w:szCs w:val="24"/>
        </w:rPr>
        <w:t>或法人证书</w:t>
      </w:r>
      <w:r>
        <w:rPr>
          <w:rFonts w:hint="eastAsia" w:ascii="Calibri" w:hAnsi="Calibri" w:eastAsia="宋体" w:cs="Times New Roman"/>
          <w:sz w:val="24"/>
          <w:szCs w:val="24"/>
        </w:rPr>
        <w:t>；</w:t>
      </w:r>
    </w:p>
    <w:p>
      <w:pPr>
        <w:spacing w:line="500" w:lineRule="exact"/>
        <w:ind w:left="2626" w:hanging="2625" w:hangingChars="1094"/>
        <w:jc w:val="left"/>
        <w:rPr>
          <w:rFonts w:ascii="Calibri" w:hAnsi="Calibri" w:eastAsia="宋体" w:cs="宋体"/>
          <w:sz w:val="24"/>
          <w:szCs w:val="24"/>
        </w:rPr>
      </w:pPr>
      <w:r>
        <w:rPr>
          <w:rFonts w:hint="eastAsia" w:cs="宋体"/>
          <w:sz w:val="24"/>
          <w:szCs w:val="24"/>
        </w:rPr>
        <w:t>（2）移动式压力容器充装许可证</w:t>
      </w:r>
      <w:r>
        <w:rPr>
          <w:rFonts w:hint="eastAsia" w:ascii="Calibri" w:hAnsi="Calibri" w:eastAsia="宋体" w:cs="宋体"/>
          <w:sz w:val="24"/>
          <w:szCs w:val="24"/>
        </w:rPr>
        <w:t>（</w:t>
      </w:r>
      <w:r>
        <w:rPr>
          <w:rFonts w:hint="eastAsia" w:cs="宋体"/>
          <w:sz w:val="24"/>
          <w:szCs w:val="24"/>
        </w:rPr>
        <w:t>延续评审</w:t>
      </w:r>
      <w:r>
        <w:rPr>
          <w:rFonts w:hint="eastAsia" w:ascii="Calibri" w:hAnsi="Calibri" w:eastAsia="宋体" w:cs="宋体"/>
          <w:sz w:val="24"/>
          <w:szCs w:val="24"/>
        </w:rPr>
        <w:t>需要）；</w:t>
      </w:r>
    </w:p>
    <w:p>
      <w:pPr>
        <w:spacing w:line="500" w:lineRule="exact"/>
        <w:ind w:left="2626" w:hanging="2625" w:hangingChars="1094"/>
        <w:jc w:val="left"/>
        <w:rPr>
          <w:rFonts w:ascii="Calibri" w:hAnsi="Calibri" w:eastAsia="宋体" w:cs="宋体"/>
          <w:sz w:val="24"/>
          <w:szCs w:val="24"/>
        </w:rPr>
      </w:pPr>
      <w:r>
        <w:rPr>
          <w:rFonts w:hint="eastAsia" w:ascii="Calibri" w:hAnsi="Calibri" w:eastAsia="宋体" w:cs="宋体"/>
          <w:sz w:val="24"/>
          <w:szCs w:val="24"/>
        </w:rPr>
        <w:t>（3）危险化学品经营许可证；</w:t>
      </w:r>
    </w:p>
    <w:p>
      <w:pPr>
        <w:spacing w:line="500" w:lineRule="exact"/>
        <w:ind w:left="2626" w:hanging="2625" w:hangingChars="1094"/>
        <w:jc w:val="left"/>
        <w:rPr>
          <w:rFonts w:ascii="Calibri" w:hAnsi="Calibri" w:eastAsia="宋体" w:cs="宋体"/>
          <w:sz w:val="24"/>
          <w:szCs w:val="24"/>
        </w:rPr>
      </w:pPr>
      <w:r>
        <w:rPr>
          <w:rFonts w:hint="eastAsia" w:cs="宋体"/>
          <w:sz w:val="24"/>
          <w:szCs w:val="24"/>
        </w:rPr>
        <w:t>（4）特种设备行政许可受理决定书</w:t>
      </w:r>
      <w:r>
        <w:rPr>
          <w:rFonts w:hint="eastAsia" w:ascii="Calibri" w:hAnsi="Calibri" w:eastAsia="宋体" w:cs="宋体"/>
          <w:sz w:val="24"/>
          <w:szCs w:val="24"/>
        </w:rPr>
        <w:t>；</w:t>
      </w:r>
    </w:p>
    <w:p>
      <w:pPr>
        <w:spacing w:line="500" w:lineRule="exact"/>
        <w:ind w:left="2626" w:hanging="2625" w:hangingChars="1094"/>
        <w:jc w:val="left"/>
        <w:rPr>
          <w:rFonts w:ascii="Calibri" w:hAnsi="Calibri" w:eastAsia="宋体" w:cs="宋体"/>
          <w:sz w:val="24"/>
          <w:szCs w:val="24"/>
        </w:rPr>
      </w:pPr>
      <w:r>
        <w:rPr>
          <w:rFonts w:hint="eastAsia" w:ascii="Calibri" w:hAnsi="Calibri" w:eastAsia="宋体" w:cs="宋体"/>
          <w:sz w:val="24"/>
          <w:szCs w:val="24"/>
        </w:rPr>
        <w:t>（5）充装许可申请书；</w:t>
      </w:r>
    </w:p>
    <w:p>
      <w:pPr>
        <w:spacing w:line="500" w:lineRule="exact"/>
        <w:rPr>
          <w:rFonts w:ascii="Calibri" w:hAnsi="Calibri" w:eastAsia="宋体" w:cs="Times New Roman"/>
          <w:sz w:val="24"/>
          <w:szCs w:val="24"/>
        </w:rPr>
      </w:pPr>
      <w:r>
        <w:rPr>
          <w:rFonts w:hint="eastAsia" w:ascii="Calibri" w:hAnsi="Calibri"/>
          <w:sz w:val="24"/>
          <w:szCs w:val="24"/>
        </w:rPr>
        <w:t>（6）政府批文（含建设用地规划许可证、建设工程规划许可证、不动产权证、建筑工程消防设计审核意见书、建筑工程消防验收意见书、发改委批复文件）</w:t>
      </w:r>
      <w:r>
        <w:rPr>
          <w:rFonts w:hint="eastAsia" w:ascii="Calibri" w:hAnsi="Calibri" w:eastAsia="宋体" w:cs="Times New Roman"/>
          <w:sz w:val="24"/>
          <w:szCs w:val="24"/>
        </w:rPr>
        <w:t>；</w:t>
      </w:r>
    </w:p>
    <w:p>
      <w:pPr>
        <w:spacing w:line="500" w:lineRule="exact"/>
        <w:ind w:left="2626" w:hanging="2625" w:hangingChars="1094"/>
        <w:jc w:val="left"/>
        <w:rPr>
          <w:rFonts w:cs="宋体"/>
          <w:sz w:val="24"/>
          <w:szCs w:val="24"/>
        </w:rPr>
      </w:pPr>
      <w:r>
        <w:rPr>
          <w:rFonts w:hint="eastAsia" w:cs="宋体"/>
          <w:sz w:val="24"/>
          <w:szCs w:val="24"/>
        </w:rPr>
        <w:t>（</w:t>
      </w:r>
      <w:r>
        <w:rPr>
          <w:rFonts w:hint="eastAsia" w:cs="宋体"/>
          <w:sz w:val="24"/>
          <w:szCs w:val="24"/>
          <w:lang w:val="en-US" w:eastAsia="zh-CN"/>
        </w:rPr>
        <w:t>7</w:t>
      </w:r>
      <w:r>
        <w:rPr>
          <w:rFonts w:hint="eastAsia" w:cs="宋体"/>
          <w:sz w:val="24"/>
          <w:szCs w:val="24"/>
        </w:rPr>
        <w:t>）人员资料：</w:t>
      </w:r>
    </w:p>
    <w:p>
      <w:pPr>
        <w:spacing w:line="500" w:lineRule="exact"/>
        <w:ind w:left="2626" w:hanging="2625" w:hangingChars="1094"/>
        <w:jc w:val="left"/>
        <w:rPr>
          <w:rFonts w:cs="宋体"/>
          <w:sz w:val="24"/>
          <w:szCs w:val="24"/>
        </w:rPr>
      </w:pPr>
      <w:r>
        <w:rPr>
          <w:rFonts w:hint="eastAsia" w:cs="宋体"/>
          <w:sz w:val="24"/>
          <w:szCs w:val="24"/>
        </w:rPr>
        <w:t xml:space="preserve">    a.持证人员劳动合同；</w:t>
      </w:r>
    </w:p>
    <w:p>
      <w:pPr>
        <w:spacing w:line="500" w:lineRule="exact"/>
        <w:jc w:val="left"/>
        <w:rPr>
          <w:rFonts w:cs="宋体"/>
          <w:sz w:val="24"/>
          <w:szCs w:val="24"/>
        </w:rPr>
      </w:pPr>
      <w:r>
        <w:rPr>
          <w:rFonts w:hint="eastAsia" w:cs="宋体"/>
          <w:sz w:val="24"/>
          <w:szCs w:val="24"/>
        </w:rPr>
        <w:t xml:space="preserve">    b.法定代表人（负责人）、</w:t>
      </w:r>
      <w:r>
        <w:rPr>
          <w:rFonts w:hint="eastAsia" w:ascii="Calibri" w:hAnsi="Calibri" w:eastAsia="宋体" w:cs="宋体"/>
          <w:sz w:val="24"/>
          <w:szCs w:val="24"/>
        </w:rPr>
        <w:t>技术负责人、专职安全管理员、充装员、检查员任命文件；</w:t>
      </w:r>
    </w:p>
    <w:p>
      <w:pPr>
        <w:spacing w:line="500" w:lineRule="exact"/>
        <w:ind w:left="2626" w:hanging="2625" w:hangingChars="1094"/>
        <w:jc w:val="left"/>
        <w:rPr>
          <w:rFonts w:cs="宋体"/>
          <w:sz w:val="24"/>
          <w:szCs w:val="24"/>
        </w:rPr>
      </w:pPr>
      <w:r>
        <w:rPr>
          <w:rFonts w:hint="eastAsia" w:cs="宋体"/>
          <w:sz w:val="24"/>
          <w:szCs w:val="24"/>
        </w:rPr>
        <w:t xml:space="preserve">    c.人员所持资质证及技术负责人职称证复印件；</w:t>
      </w:r>
    </w:p>
    <w:p>
      <w:pPr>
        <w:spacing w:line="500" w:lineRule="exact"/>
        <w:ind w:left="2626" w:hanging="2625" w:hangingChars="1094"/>
        <w:jc w:val="left"/>
        <w:rPr>
          <w:rFonts w:cs="宋体"/>
          <w:sz w:val="24"/>
          <w:szCs w:val="24"/>
        </w:rPr>
      </w:pPr>
      <w:r>
        <w:rPr>
          <w:rFonts w:hint="eastAsia" w:cs="宋体"/>
          <w:sz w:val="24"/>
          <w:szCs w:val="24"/>
        </w:rPr>
        <w:t xml:space="preserve">    d.培训证明；</w:t>
      </w:r>
    </w:p>
    <w:p>
      <w:pPr>
        <w:spacing w:line="500" w:lineRule="exact"/>
        <w:ind w:left="2626" w:hanging="2625" w:hangingChars="1094"/>
        <w:jc w:val="left"/>
        <w:rPr>
          <w:rFonts w:cs="宋体"/>
          <w:sz w:val="24"/>
          <w:szCs w:val="24"/>
        </w:rPr>
      </w:pPr>
      <w:r>
        <w:rPr>
          <w:rFonts w:hint="eastAsia" w:cs="宋体"/>
          <w:sz w:val="24"/>
          <w:szCs w:val="24"/>
        </w:rPr>
        <w:t xml:space="preserve">    e.社保缴纳证明。</w:t>
      </w:r>
    </w:p>
    <w:p>
      <w:pPr>
        <w:spacing w:line="500" w:lineRule="exact"/>
        <w:ind w:left="2626" w:hanging="2625" w:hangingChars="1094"/>
        <w:jc w:val="left"/>
        <w:rPr>
          <w:rFonts w:cs="宋体"/>
          <w:sz w:val="24"/>
          <w:szCs w:val="24"/>
        </w:rPr>
      </w:pPr>
      <w:r>
        <w:rPr>
          <w:rFonts w:hint="eastAsia" w:cs="宋体"/>
          <w:sz w:val="24"/>
          <w:szCs w:val="24"/>
        </w:rPr>
        <w:t>（</w:t>
      </w:r>
      <w:r>
        <w:rPr>
          <w:rFonts w:hint="eastAsia" w:cs="宋体"/>
          <w:sz w:val="24"/>
          <w:szCs w:val="24"/>
          <w:lang w:val="en-US" w:eastAsia="zh-CN"/>
        </w:rPr>
        <w:t>8</w:t>
      </w:r>
      <w:r>
        <w:rPr>
          <w:rFonts w:hint="eastAsia" w:cs="宋体"/>
          <w:sz w:val="24"/>
          <w:szCs w:val="24"/>
        </w:rPr>
        <w:t>）仪器设备</w:t>
      </w:r>
    </w:p>
    <w:p>
      <w:pPr>
        <w:spacing w:line="500" w:lineRule="exact"/>
        <w:ind w:left="2626" w:hanging="2625" w:hangingChars="1094"/>
        <w:jc w:val="left"/>
        <w:rPr>
          <w:rFonts w:cs="宋体"/>
          <w:sz w:val="24"/>
          <w:szCs w:val="24"/>
        </w:rPr>
      </w:pPr>
      <w:r>
        <w:rPr>
          <w:rFonts w:hint="eastAsia" w:cs="宋体"/>
          <w:sz w:val="24"/>
          <w:szCs w:val="24"/>
        </w:rPr>
        <w:t xml:space="preserve">    a.</w:t>
      </w:r>
      <w:r>
        <w:rPr>
          <w:rFonts w:hint="eastAsia" w:ascii="Calibri" w:hAnsi="Calibri" w:eastAsia="宋体" w:cs="宋体"/>
          <w:sz w:val="24"/>
          <w:szCs w:val="24"/>
        </w:rPr>
        <w:t>仪器、设备、设施</w:t>
      </w:r>
      <w:r>
        <w:rPr>
          <w:rFonts w:hint="eastAsia" w:cs="宋体"/>
          <w:sz w:val="24"/>
          <w:szCs w:val="24"/>
        </w:rPr>
        <w:t>固定资产台账</w:t>
      </w:r>
      <w:r>
        <w:rPr>
          <w:rFonts w:hint="eastAsia" w:ascii="Calibri" w:hAnsi="Calibri" w:eastAsia="宋体" w:cs="宋体"/>
          <w:sz w:val="24"/>
          <w:szCs w:val="24"/>
        </w:rPr>
        <w:t>；</w:t>
      </w:r>
    </w:p>
    <w:p>
      <w:pPr>
        <w:spacing w:line="500" w:lineRule="exact"/>
        <w:ind w:left="2626" w:hanging="2625" w:hangingChars="1094"/>
        <w:jc w:val="left"/>
        <w:rPr>
          <w:rFonts w:cs="宋体"/>
          <w:sz w:val="24"/>
          <w:szCs w:val="24"/>
        </w:rPr>
      </w:pPr>
      <w:r>
        <w:rPr>
          <w:rFonts w:hint="eastAsia" w:cs="宋体"/>
          <w:sz w:val="24"/>
          <w:szCs w:val="24"/>
        </w:rPr>
        <w:t xml:space="preserve">    b.</w:t>
      </w:r>
      <w:r>
        <w:rPr>
          <w:rFonts w:hint="eastAsia" w:ascii="Calibri" w:hAnsi="Calibri" w:eastAsia="宋体" w:cs="宋体"/>
          <w:sz w:val="24"/>
          <w:szCs w:val="24"/>
        </w:rPr>
        <w:t>仪器</w:t>
      </w:r>
      <w:r>
        <w:rPr>
          <w:rFonts w:hint="eastAsia" w:cs="宋体"/>
          <w:sz w:val="24"/>
          <w:szCs w:val="24"/>
        </w:rPr>
        <w:t>检定、校准台账；</w:t>
      </w:r>
    </w:p>
    <w:p>
      <w:pPr>
        <w:spacing w:line="500" w:lineRule="exact"/>
        <w:ind w:left="2626" w:hanging="2625" w:hangingChars="1094"/>
        <w:jc w:val="left"/>
        <w:rPr>
          <w:rFonts w:cs="宋体"/>
          <w:sz w:val="24"/>
          <w:szCs w:val="24"/>
        </w:rPr>
      </w:pPr>
      <w:r>
        <w:rPr>
          <w:rFonts w:hint="eastAsia" w:cs="宋体"/>
          <w:sz w:val="24"/>
          <w:szCs w:val="24"/>
        </w:rPr>
        <w:t xml:space="preserve">    c.压力容器、压力管道使用登记证及定期检验和年度检查报告复印件；</w:t>
      </w:r>
    </w:p>
    <w:p>
      <w:pPr>
        <w:spacing w:line="500" w:lineRule="exact"/>
        <w:ind w:firstLine="480"/>
        <w:jc w:val="left"/>
        <w:rPr>
          <w:rFonts w:cs="宋体"/>
          <w:sz w:val="24"/>
          <w:szCs w:val="24"/>
        </w:rPr>
      </w:pPr>
      <w:r>
        <w:rPr>
          <w:rFonts w:hint="eastAsia" w:cs="宋体"/>
          <w:sz w:val="24"/>
          <w:szCs w:val="24"/>
        </w:rPr>
        <w:t>d.压力表、安全阀、报警器和</w:t>
      </w:r>
      <w:r>
        <w:rPr>
          <w:rFonts w:hint="eastAsia" w:cs="宋体"/>
          <w:sz w:val="24"/>
          <w:szCs w:val="24"/>
          <w:lang w:eastAsia="zh-CN"/>
        </w:rPr>
        <w:t>衡器</w:t>
      </w:r>
      <w:r>
        <w:rPr>
          <w:rFonts w:hint="eastAsia" w:cs="宋体"/>
          <w:sz w:val="24"/>
          <w:szCs w:val="24"/>
        </w:rPr>
        <w:t>等检定或校准证书复印件。</w:t>
      </w:r>
    </w:p>
    <w:p>
      <w:pPr>
        <w:spacing w:line="500" w:lineRule="exact"/>
        <w:jc w:val="left"/>
        <w:rPr>
          <w:rFonts w:ascii="Calibri" w:hAnsi="Calibri" w:eastAsia="宋体" w:cs="宋体"/>
          <w:sz w:val="24"/>
          <w:szCs w:val="24"/>
        </w:rPr>
      </w:pPr>
      <w:r>
        <w:rPr>
          <w:rFonts w:hint="eastAsia" w:cs="宋体"/>
          <w:sz w:val="24"/>
          <w:szCs w:val="24"/>
        </w:rPr>
        <w:t>（</w:t>
      </w:r>
      <w:r>
        <w:rPr>
          <w:rFonts w:hint="eastAsia" w:cs="宋体"/>
          <w:sz w:val="24"/>
          <w:szCs w:val="24"/>
          <w:lang w:val="en-US" w:eastAsia="zh-CN"/>
        </w:rPr>
        <w:t>9</w:t>
      </w:r>
      <w:r>
        <w:rPr>
          <w:rFonts w:hint="eastAsia" w:cs="宋体"/>
          <w:sz w:val="24"/>
          <w:szCs w:val="24"/>
        </w:rPr>
        <w:t>）</w:t>
      </w:r>
      <w:r>
        <w:rPr>
          <w:rFonts w:hint="eastAsia" w:ascii="Calibri" w:hAnsi="Calibri" w:eastAsia="宋体" w:cs="宋体"/>
          <w:sz w:val="24"/>
          <w:szCs w:val="24"/>
        </w:rPr>
        <w:t>质量手册（首页、编制审核批准页、颁布令页、目录页）。</w:t>
      </w:r>
    </w:p>
    <w:p>
      <w:pPr>
        <w:spacing w:line="500" w:lineRule="exact"/>
        <w:ind w:firstLine="241" w:firstLineChars="100"/>
        <w:jc w:val="left"/>
        <w:rPr>
          <w:rFonts w:hint="eastAsia" w:ascii="宋体" w:hAnsi="宋体" w:cs="黑体"/>
          <w:b/>
          <w:sz w:val="24"/>
        </w:rPr>
      </w:pPr>
    </w:p>
    <w:sectPr>
      <w:headerReference r:id="rId5" w:type="default"/>
      <w:footerReference r:id="rId6" w:type="default"/>
      <w:pgSz w:w="11906" w:h="16838"/>
      <w:pgMar w:top="1304" w:right="1134" w:bottom="1021" w:left="1588"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jc w:val="right"/>
      <w:rPr>
        <w:rFonts w:hAnsi="宋体"/>
        <w:sz w:val="18"/>
        <w:szCs w:val="18"/>
      </w:rPr>
    </w:pPr>
    <w:r>
      <w:pict>
        <v:shape id="_x0000_s3093" o:spid="_x0000_s3093" o:spt="202" type="#_x0000_t202" style="position:absolute;left:0pt;margin-left:216.45pt;margin-top:16pt;height:12pt;width:27.5pt;mso-position-horizontal-relative:margin;z-index:251661312;mso-width-relative:page;mso-height-relative:page;" filled="f" stroked="f" coordsize="21600,21600">
          <v:path/>
          <v:fill on="f" focussize="0,0"/>
          <v:stroke on="f"/>
          <v:imagedata o:title=""/>
          <o:lock v:ext="edit" aspectratio="f"/>
          <v:textbox inset="0mm,0mm,0mm,0mm" style="mso-fit-shape-to-text:t;">
            <w:txbxContent>
              <w:p>
                <w:pPr>
                  <w:pStyle w:val="13"/>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pict>
        <v:line id="_x0000_s3094" o:spid="_x0000_s3094" o:spt="20" style="position:absolute;left:0pt;margin-left:0pt;margin-top:11.9pt;height:0pt;width:459pt;z-index:251660288;mso-width-relative:page;mso-height-relative:page;" coordsize="21600,21600">
          <v:path arrowok="t"/>
          <v:fill focussize="0,0"/>
          <v:stroke/>
          <v:imagedata o:title=""/>
          <o:lock v:ext="edit"/>
        </v:line>
      </w:pict>
    </w:r>
  </w:p>
  <w:p>
    <w:pPr>
      <w:pStyle w:val="13"/>
      <w:rPr>
        <w:rFonts w:ascii="宋体" w:hAnsi="宋体"/>
        <w:u w:val="single"/>
      </w:rPr>
    </w:pPr>
    <w:r>
      <w:rPr>
        <w:rFonts w:hint="eastAsia" w:ascii="宋体" w:hAnsi="宋体"/>
      </w:rPr>
      <w:t xml:space="preserve">2022年12月10日发布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rPr>
        <w:rFonts w:hint="default" w:hAnsi="宋体" w:eastAsia="宋体"/>
        <w:sz w:val="18"/>
        <w:szCs w:val="18"/>
        <w:lang w:val="en-US" w:eastAsia="zh-CN"/>
      </w:rPr>
    </w:pPr>
    <w:r>
      <w:rPr>
        <w:rFonts w:hAnsi="宋体"/>
        <w:sz w:val="18"/>
        <w:szCs w:val="18"/>
      </w:rPr>
      <w:pict>
        <v:line id="直线 1029" o:spid="_x0000_s3084" o:spt="20" style="position:absolute;left:0pt;margin-left:0pt;margin-top:23.35pt;height:0pt;width:459pt;z-index:251659264;mso-width-relative:page;mso-height-relative:page;" coordsize="21600,21600">
          <v:path arrowok="t"/>
          <v:fill focussize="0,0"/>
          <v:stroke/>
          <v:imagedata o:title=""/>
          <o:lock v:ext="edit"/>
        </v:line>
      </w:pict>
    </w:r>
    <w:r>
      <w:rPr>
        <w:rFonts w:hint="eastAsia" w:hAnsi="宋体"/>
        <w:sz w:val="18"/>
        <w:szCs w:val="18"/>
      </w:rPr>
      <w:t>XT</w:t>
    </w:r>
    <w:r>
      <w:rPr>
        <w:rFonts w:hint="eastAsia" w:hAnsi="宋体"/>
        <w:sz w:val="18"/>
        <w:szCs w:val="18"/>
        <w:lang w:val="en-US" w:eastAsia="zh-CN"/>
      </w:rPr>
      <w:t>X</w:t>
    </w:r>
    <w:r>
      <w:rPr>
        <w:rFonts w:hint="eastAsia" w:hAnsi="宋体"/>
        <w:sz w:val="18"/>
        <w:szCs w:val="18"/>
      </w:rPr>
      <w:t>PS/ZN</w:t>
    </w:r>
    <w:r>
      <w:rPr>
        <w:rFonts w:hint="eastAsia" w:hAnsi="宋体"/>
        <w:sz w:val="18"/>
        <w:szCs w:val="18"/>
        <w:lang w:val="en-US" w:eastAsia="zh-CN"/>
      </w:rPr>
      <w:t>-YDC</w:t>
    </w:r>
    <w:r>
      <w:rPr>
        <w:rFonts w:hint="eastAsia" w:hAnsi="宋体"/>
        <w:sz w:val="18"/>
        <w:szCs w:val="18"/>
      </w:rPr>
      <w:t xml:space="preserve">-2022                      </w:t>
    </w:r>
    <w:r>
      <w:rPr>
        <w:rFonts w:hint="eastAsia" w:hAnsi="宋体"/>
        <w:sz w:val="18"/>
        <w:szCs w:val="18"/>
        <w:lang w:val="en-US" w:eastAsia="zh-CN"/>
      </w:rPr>
      <w:t xml:space="preserve">   </w:t>
    </w:r>
    <w:r>
      <w:rPr>
        <w:rFonts w:hint="eastAsia" w:hAnsi="宋体"/>
        <w:sz w:val="18"/>
        <w:szCs w:val="18"/>
      </w:rPr>
      <w:t xml:space="preserve">       </w:t>
    </w:r>
    <w:r>
      <w:rPr>
        <w:rFonts w:ascii="华文行楷" w:eastAsia="华文行楷"/>
        <w:sz w:val="21"/>
        <w:u w:val="none"/>
      </w:rPr>
      <w:drawing>
        <wp:inline distT="0" distB="0" distL="0" distR="0">
          <wp:extent cx="256540" cy="232410"/>
          <wp:effectExtent l="0" t="0" r="2540" b="1143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srcRect/>
                  <a:stretch>
                    <a:fillRect/>
                  </a:stretch>
                </pic:blipFill>
                <pic:spPr>
                  <a:xfrm>
                    <a:off x="0" y="0"/>
                    <a:ext cx="256540" cy="232410"/>
                  </a:xfrm>
                  <a:prstGeom prst="rect">
                    <a:avLst/>
                  </a:prstGeom>
                  <a:noFill/>
                  <a:ln w="9525">
                    <a:noFill/>
                    <a:miter lim="800000"/>
                    <a:headEnd/>
                    <a:tailEnd/>
                  </a:ln>
                </pic:spPr>
              </pic:pic>
            </a:graphicData>
          </a:graphic>
        </wp:inline>
      </w:drawing>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Style w:val="21"/>
        <w:rFonts w:hint="eastAsia" w:hAnsi="宋体" w:cs="宋体"/>
        <w:bCs/>
        <w:sz w:val="18"/>
        <w:szCs w:val="18"/>
        <w:lang w:val="en-US" w:eastAsia="zh-CN"/>
      </w:rPr>
      <w:t>专用指南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EB04"/>
    <w:multiLevelType w:val="singleLevel"/>
    <w:tmpl w:val="811DEB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6E57BB"/>
    <w:rsid w:val="069046C8"/>
    <w:rsid w:val="069C6C57"/>
    <w:rsid w:val="06AD7702"/>
    <w:rsid w:val="06BC54D2"/>
    <w:rsid w:val="06CC4263"/>
    <w:rsid w:val="06DA12D1"/>
    <w:rsid w:val="06FD084E"/>
    <w:rsid w:val="07005256"/>
    <w:rsid w:val="070833D4"/>
    <w:rsid w:val="07205FDA"/>
    <w:rsid w:val="072A32A5"/>
    <w:rsid w:val="07415076"/>
    <w:rsid w:val="07456585"/>
    <w:rsid w:val="074B0207"/>
    <w:rsid w:val="07820722"/>
    <w:rsid w:val="07B85608"/>
    <w:rsid w:val="07C93C74"/>
    <w:rsid w:val="07E152BF"/>
    <w:rsid w:val="07EF6E68"/>
    <w:rsid w:val="07FC31A3"/>
    <w:rsid w:val="08192E31"/>
    <w:rsid w:val="085A51F1"/>
    <w:rsid w:val="0867416F"/>
    <w:rsid w:val="089C79E3"/>
    <w:rsid w:val="08D42713"/>
    <w:rsid w:val="08D65A4F"/>
    <w:rsid w:val="08D6701D"/>
    <w:rsid w:val="08F024D3"/>
    <w:rsid w:val="09064FBB"/>
    <w:rsid w:val="09190D62"/>
    <w:rsid w:val="09214029"/>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B43CE"/>
    <w:rsid w:val="0AFB77C3"/>
    <w:rsid w:val="0B0861C1"/>
    <w:rsid w:val="0B25555B"/>
    <w:rsid w:val="0B301DB6"/>
    <w:rsid w:val="0B4B0BBD"/>
    <w:rsid w:val="0B5657C7"/>
    <w:rsid w:val="0B681EF5"/>
    <w:rsid w:val="0B6837A0"/>
    <w:rsid w:val="0B7078E0"/>
    <w:rsid w:val="0B876A6B"/>
    <w:rsid w:val="0B8E095D"/>
    <w:rsid w:val="0BA01E8A"/>
    <w:rsid w:val="0BDE5511"/>
    <w:rsid w:val="0BF13340"/>
    <w:rsid w:val="0C0710D3"/>
    <w:rsid w:val="0C0B1E69"/>
    <w:rsid w:val="0C363673"/>
    <w:rsid w:val="0C434CD5"/>
    <w:rsid w:val="0C7B17F2"/>
    <w:rsid w:val="0C985AFF"/>
    <w:rsid w:val="0CD1111F"/>
    <w:rsid w:val="0D334F58"/>
    <w:rsid w:val="0D3F525D"/>
    <w:rsid w:val="0D422E5F"/>
    <w:rsid w:val="0D606BBE"/>
    <w:rsid w:val="0D711657"/>
    <w:rsid w:val="0D926941"/>
    <w:rsid w:val="0D95434C"/>
    <w:rsid w:val="0D990B70"/>
    <w:rsid w:val="0DCA798F"/>
    <w:rsid w:val="0DE03E72"/>
    <w:rsid w:val="0DE272C5"/>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0FF15458"/>
    <w:rsid w:val="100F6ABC"/>
    <w:rsid w:val="10215008"/>
    <w:rsid w:val="103C513D"/>
    <w:rsid w:val="105570E6"/>
    <w:rsid w:val="106A4C1B"/>
    <w:rsid w:val="10BD03C9"/>
    <w:rsid w:val="10DC7FFA"/>
    <w:rsid w:val="10E75BE8"/>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CA163F"/>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764D4C"/>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A54A91"/>
    <w:rsid w:val="17B9248A"/>
    <w:rsid w:val="17BA679D"/>
    <w:rsid w:val="17CC3EA2"/>
    <w:rsid w:val="17D11D27"/>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9B5CBF"/>
    <w:rsid w:val="19A81389"/>
    <w:rsid w:val="19F224DC"/>
    <w:rsid w:val="19F72E16"/>
    <w:rsid w:val="1A0D0F62"/>
    <w:rsid w:val="1A143B2C"/>
    <w:rsid w:val="1A1C31EA"/>
    <w:rsid w:val="1A2657AB"/>
    <w:rsid w:val="1A934D0C"/>
    <w:rsid w:val="1A9E2575"/>
    <w:rsid w:val="1AB4701E"/>
    <w:rsid w:val="1AB86F56"/>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1E6084"/>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C96552"/>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24155B"/>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1A7652"/>
    <w:rsid w:val="26285B3A"/>
    <w:rsid w:val="26351ED3"/>
    <w:rsid w:val="26456A29"/>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E5457"/>
    <w:rsid w:val="286B1201"/>
    <w:rsid w:val="286B4045"/>
    <w:rsid w:val="28C14462"/>
    <w:rsid w:val="28F509FE"/>
    <w:rsid w:val="290A6E57"/>
    <w:rsid w:val="29130F00"/>
    <w:rsid w:val="291A14E9"/>
    <w:rsid w:val="29266229"/>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C038F1"/>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892158"/>
    <w:rsid w:val="2C9420F7"/>
    <w:rsid w:val="2C9B3BC9"/>
    <w:rsid w:val="2CF4608A"/>
    <w:rsid w:val="2D1E069A"/>
    <w:rsid w:val="2D253C18"/>
    <w:rsid w:val="2D31546A"/>
    <w:rsid w:val="2D4F7CC4"/>
    <w:rsid w:val="2D5E717D"/>
    <w:rsid w:val="2D765CB0"/>
    <w:rsid w:val="2DA74888"/>
    <w:rsid w:val="2DB8657A"/>
    <w:rsid w:val="2DCC4ACD"/>
    <w:rsid w:val="2DD512B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2FC7586C"/>
    <w:rsid w:val="301A0002"/>
    <w:rsid w:val="30320746"/>
    <w:rsid w:val="3069714F"/>
    <w:rsid w:val="307D0C8A"/>
    <w:rsid w:val="307D78E9"/>
    <w:rsid w:val="30881421"/>
    <w:rsid w:val="308B2D36"/>
    <w:rsid w:val="30A036ED"/>
    <w:rsid w:val="30A642EC"/>
    <w:rsid w:val="30AA26C6"/>
    <w:rsid w:val="30AE4D85"/>
    <w:rsid w:val="31134756"/>
    <w:rsid w:val="311A4F41"/>
    <w:rsid w:val="312967F0"/>
    <w:rsid w:val="31376F08"/>
    <w:rsid w:val="313976E9"/>
    <w:rsid w:val="314503CA"/>
    <w:rsid w:val="31826E30"/>
    <w:rsid w:val="318E5C1C"/>
    <w:rsid w:val="31D22B9D"/>
    <w:rsid w:val="31F15525"/>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C1F11"/>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230AD2"/>
    <w:rsid w:val="373423BB"/>
    <w:rsid w:val="373B59A5"/>
    <w:rsid w:val="373D4C6F"/>
    <w:rsid w:val="37525D06"/>
    <w:rsid w:val="376D0FF4"/>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7F5307"/>
    <w:rsid w:val="3FA36BF9"/>
    <w:rsid w:val="3FC13367"/>
    <w:rsid w:val="40024BC2"/>
    <w:rsid w:val="40122082"/>
    <w:rsid w:val="40240F89"/>
    <w:rsid w:val="409F04F4"/>
    <w:rsid w:val="40A46B8A"/>
    <w:rsid w:val="40B2295D"/>
    <w:rsid w:val="40B32392"/>
    <w:rsid w:val="40B50E50"/>
    <w:rsid w:val="40E251F4"/>
    <w:rsid w:val="40E535A3"/>
    <w:rsid w:val="40E73ACD"/>
    <w:rsid w:val="41062798"/>
    <w:rsid w:val="41140B25"/>
    <w:rsid w:val="412409DB"/>
    <w:rsid w:val="41397D08"/>
    <w:rsid w:val="41520C49"/>
    <w:rsid w:val="41773121"/>
    <w:rsid w:val="417D3DE6"/>
    <w:rsid w:val="41940DDD"/>
    <w:rsid w:val="41A6431C"/>
    <w:rsid w:val="41F35BAC"/>
    <w:rsid w:val="420A0952"/>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C86AAC"/>
    <w:rsid w:val="44CA242F"/>
    <w:rsid w:val="44CA32F7"/>
    <w:rsid w:val="44DD6CB3"/>
    <w:rsid w:val="44DF56E6"/>
    <w:rsid w:val="44F25A59"/>
    <w:rsid w:val="45B90B48"/>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A0155A6"/>
    <w:rsid w:val="4A2A5B99"/>
    <w:rsid w:val="4A470778"/>
    <w:rsid w:val="4A4756D4"/>
    <w:rsid w:val="4A684286"/>
    <w:rsid w:val="4AA53C08"/>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A854F0"/>
    <w:rsid w:val="4CEF445F"/>
    <w:rsid w:val="4D5F358E"/>
    <w:rsid w:val="4D946590"/>
    <w:rsid w:val="4D9B1E70"/>
    <w:rsid w:val="4DA76A46"/>
    <w:rsid w:val="4DE156B3"/>
    <w:rsid w:val="4DEB794F"/>
    <w:rsid w:val="4E082439"/>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E22ADA"/>
    <w:rsid w:val="50086DAB"/>
    <w:rsid w:val="502340BF"/>
    <w:rsid w:val="50251F0B"/>
    <w:rsid w:val="50311F7B"/>
    <w:rsid w:val="50340C2A"/>
    <w:rsid w:val="503A2293"/>
    <w:rsid w:val="5042689B"/>
    <w:rsid w:val="5045131F"/>
    <w:rsid w:val="506176D1"/>
    <w:rsid w:val="506A4F48"/>
    <w:rsid w:val="5076586D"/>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B18A9"/>
    <w:rsid w:val="532A0507"/>
    <w:rsid w:val="53302BD5"/>
    <w:rsid w:val="534E3A78"/>
    <w:rsid w:val="535406C1"/>
    <w:rsid w:val="535856D4"/>
    <w:rsid w:val="537F1C03"/>
    <w:rsid w:val="5382068F"/>
    <w:rsid w:val="53A1577B"/>
    <w:rsid w:val="53BB2078"/>
    <w:rsid w:val="53D03AC3"/>
    <w:rsid w:val="5424378E"/>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AB1524"/>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DC27D0"/>
    <w:rsid w:val="5BF22FC6"/>
    <w:rsid w:val="5BF41B96"/>
    <w:rsid w:val="5BFC16C8"/>
    <w:rsid w:val="5C356427"/>
    <w:rsid w:val="5C543947"/>
    <w:rsid w:val="5C5F100A"/>
    <w:rsid w:val="5C601368"/>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653A51"/>
    <w:rsid w:val="5F7016AD"/>
    <w:rsid w:val="5F8238CA"/>
    <w:rsid w:val="5F892A9A"/>
    <w:rsid w:val="5F8F6D88"/>
    <w:rsid w:val="5FAF2323"/>
    <w:rsid w:val="5FB32D4A"/>
    <w:rsid w:val="5FB34F76"/>
    <w:rsid w:val="5FC15D30"/>
    <w:rsid w:val="5FE94FB9"/>
    <w:rsid w:val="601020D3"/>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A70CE3"/>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813267"/>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E37D2D"/>
    <w:rsid w:val="69FF3AC9"/>
    <w:rsid w:val="6A0B4AF4"/>
    <w:rsid w:val="6A201C4E"/>
    <w:rsid w:val="6A235EA7"/>
    <w:rsid w:val="6A6F72A4"/>
    <w:rsid w:val="6A7D3DDD"/>
    <w:rsid w:val="6A810ADE"/>
    <w:rsid w:val="6AAF1322"/>
    <w:rsid w:val="6ABF4A24"/>
    <w:rsid w:val="6ACA0BF5"/>
    <w:rsid w:val="6AD80589"/>
    <w:rsid w:val="6B137DB3"/>
    <w:rsid w:val="6B523989"/>
    <w:rsid w:val="6B5275DD"/>
    <w:rsid w:val="6B8E7D65"/>
    <w:rsid w:val="6BA94B95"/>
    <w:rsid w:val="6BC14DDF"/>
    <w:rsid w:val="6BC8195B"/>
    <w:rsid w:val="6BD07FC3"/>
    <w:rsid w:val="6BFB15DB"/>
    <w:rsid w:val="6C17656C"/>
    <w:rsid w:val="6C19304C"/>
    <w:rsid w:val="6C2958FC"/>
    <w:rsid w:val="6C4E489F"/>
    <w:rsid w:val="6C6C20EE"/>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755457"/>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64600D"/>
    <w:rsid w:val="73812D4F"/>
    <w:rsid w:val="73C475A4"/>
    <w:rsid w:val="73C8468F"/>
    <w:rsid w:val="73D06507"/>
    <w:rsid w:val="73DB7DDC"/>
    <w:rsid w:val="73E03BD4"/>
    <w:rsid w:val="73E72233"/>
    <w:rsid w:val="73E856FA"/>
    <w:rsid w:val="740A1881"/>
    <w:rsid w:val="74143FCA"/>
    <w:rsid w:val="742D4090"/>
    <w:rsid w:val="744F29CB"/>
    <w:rsid w:val="748D222D"/>
    <w:rsid w:val="74B67A9A"/>
    <w:rsid w:val="74B91DE3"/>
    <w:rsid w:val="74BB510E"/>
    <w:rsid w:val="74F94DA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D74AD4"/>
    <w:rsid w:val="77013E25"/>
    <w:rsid w:val="772F460B"/>
    <w:rsid w:val="773A0571"/>
    <w:rsid w:val="779E6C12"/>
    <w:rsid w:val="77A8124D"/>
    <w:rsid w:val="77B16162"/>
    <w:rsid w:val="77C72204"/>
    <w:rsid w:val="77CC7105"/>
    <w:rsid w:val="77E11C15"/>
    <w:rsid w:val="77FA4E68"/>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7748B2"/>
    <w:rsid w:val="79A1658B"/>
    <w:rsid w:val="79A668B5"/>
    <w:rsid w:val="79C52F28"/>
    <w:rsid w:val="79E120DE"/>
    <w:rsid w:val="7A081EF4"/>
    <w:rsid w:val="7A2A4905"/>
    <w:rsid w:val="7A3F4828"/>
    <w:rsid w:val="7A574882"/>
    <w:rsid w:val="7A5E7D4D"/>
    <w:rsid w:val="7A687E45"/>
    <w:rsid w:val="7A98238A"/>
    <w:rsid w:val="7AC66792"/>
    <w:rsid w:val="7B0210A0"/>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line="360" w:lineRule="auto"/>
      <w:outlineLvl w:val="1"/>
    </w:pPr>
    <w:rPr>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unhideWhenUsed/>
    <w:qFormat/>
    <w:uiPriority w:val="99"/>
    <w:rPr>
      <w:rFonts w:hint="eastAsia" w:ascii="Calibri" w:hAnsi="Calibri"/>
      <w:sz w:val="30"/>
      <w:szCs w:val="24"/>
    </w:rPr>
  </w:style>
  <w:style w:type="paragraph" w:styleId="3">
    <w:name w:val="Title"/>
    <w:basedOn w:val="1"/>
    <w:next w:val="1"/>
    <w:qFormat/>
    <w:uiPriority w:val="10"/>
    <w:rPr>
      <w:rFonts w:hint="eastAsia" w:ascii="Arial" w:hAnsi="Arial"/>
      <w:b/>
      <w:sz w:val="24"/>
      <w:szCs w:val="24"/>
    </w:rPr>
  </w:style>
  <w:style w:type="paragraph" w:styleId="5">
    <w:name w:val="Document Map"/>
    <w:basedOn w:val="1"/>
    <w:link w:val="32"/>
    <w:qFormat/>
    <w:uiPriority w:val="0"/>
    <w:rPr>
      <w:rFonts w:ascii="宋体"/>
      <w:sz w:val="18"/>
      <w:szCs w:val="18"/>
    </w:rPr>
  </w:style>
  <w:style w:type="paragraph" w:styleId="6">
    <w:name w:val="annotation text"/>
    <w:basedOn w:val="1"/>
    <w:qFormat/>
    <w:uiPriority w:val="0"/>
    <w:pPr>
      <w:jc w:val="left"/>
    </w:pPr>
  </w:style>
  <w:style w:type="paragraph" w:styleId="7">
    <w:name w:val="Body Text"/>
    <w:basedOn w:val="1"/>
    <w:qFormat/>
    <w:uiPriority w:val="0"/>
    <w:pPr>
      <w:spacing w:line="360" w:lineRule="auto"/>
    </w:pPr>
    <w:rPr>
      <w:rFonts w:ascii="宋体" w:hAnsi="宋体"/>
      <w:sz w:val="24"/>
    </w:rPr>
  </w:style>
  <w:style w:type="paragraph" w:styleId="8">
    <w:name w:val="Body Text Indent"/>
    <w:basedOn w:val="1"/>
    <w:qFormat/>
    <w:uiPriority w:val="0"/>
    <w:pPr>
      <w:spacing w:line="360" w:lineRule="auto"/>
      <w:ind w:firstLine="420" w:firstLineChars="200"/>
    </w:pPr>
    <w:rPr>
      <w:rFonts w:ascii="宋体" w:hAnsi="宋体"/>
    </w:rPr>
  </w:style>
  <w:style w:type="paragraph" w:styleId="9">
    <w:name w:val="Plain Text"/>
    <w:basedOn w:val="1"/>
    <w:link w:val="26"/>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color w:val="FF6600"/>
      <w:kern w:val="0"/>
      <w:sz w:val="24"/>
    </w:rPr>
  </w:style>
  <w:style w:type="paragraph" w:styleId="11">
    <w:name w:val="Body Text Indent 2"/>
    <w:basedOn w:val="1"/>
    <w:link w:val="25"/>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7"/>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kern w:val="0"/>
      <w:sz w:val="24"/>
    </w:rPr>
  </w:style>
  <w:style w:type="paragraph" w:styleId="17">
    <w:name w:val="annotation subject"/>
    <w:basedOn w:val="6"/>
    <w:next w:val="6"/>
    <w:qFormat/>
    <w:uiPriority w:val="0"/>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character" w:customStyle="1" w:styleId="25">
    <w:name w:val="正文文本缩进 2 Char"/>
    <w:basedOn w:val="20"/>
    <w:link w:val="11"/>
    <w:qFormat/>
    <w:uiPriority w:val="0"/>
    <w:rPr>
      <w:kern w:val="2"/>
      <w:sz w:val="21"/>
      <w:szCs w:val="24"/>
    </w:rPr>
  </w:style>
  <w:style w:type="character" w:customStyle="1" w:styleId="26">
    <w:name w:val="纯文本 Char"/>
    <w:basedOn w:val="20"/>
    <w:link w:val="9"/>
    <w:qFormat/>
    <w:uiPriority w:val="0"/>
    <w:rPr>
      <w:rFonts w:ascii="宋体" w:hAnsi="Courier New" w:cs="Courier New"/>
      <w:kern w:val="2"/>
      <w:sz w:val="21"/>
      <w:szCs w:val="21"/>
    </w:rPr>
  </w:style>
  <w:style w:type="character" w:customStyle="1" w:styleId="27">
    <w:name w:val="正文文本缩进 3 Char"/>
    <w:basedOn w:val="20"/>
    <w:link w:val="15"/>
    <w:qFormat/>
    <w:uiPriority w:val="0"/>
    <w:rPr>
      <w:kern w:val="2"/>
      <w:sz w:val="16"/>
      <w:szCs w:val="16"/>
    </w:rPr>
  </w:style>
  <w:style w:type="paragraph" w:customStyle="1" w:styleId="28">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9">
    <w:name w:val="List Paragraph"/>
    <w:basedOn w:val="1"/>
    <w:qFormat/>
    <w:uiPriority w:val="34"/>
    <w:pPr>
      <w:ind w:firstLine="420" w:firstLineChars="200"/>
    </w:pPr>
  </w:style>
  <w:style w:type="paragraph" w:customStyle="1" w:styleId="3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正文文本缩进 2 Char1"/>
    <w:basedOn w:val="20"/>
    <w:semiHidden/>
    <w:qFormat/>
    <w:locked/>
    <w:uiPriority w:val="0"/>
    <w:rPr>
      <w:kern w:val="2"/>
      <w:sz w:val="21"/>
      <w:szCs w:val="24"/>
    </w:rPr>
  </w:style>
  <w:style w:type="character" w:customStyle="1" w:styleId="32">
    <w:name w:val="文档结构图 Char"/>
    <w:basedOn w:val="20"/>
    <w:link w:val="5"/>
    <w:qFormat/>
    <w:uiPriority w:val="0"/>
    <w:rPr>
      <w:rFonts w:ascii="宋体"/>
      <w:kern w:val="2"/>
      <w:sz w:val="18"/>
      <w:szCs w:val="18"/>
    </w:rPr>
  </w:style>
  <w:style w:type="paragraph" w:customStyle="1" w:styleId="33">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4"/>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11</Pages>
  <Words>7576</Words>
  <Characters>7733</Characters>
  <Lines>51</Lines>
  <Paragraphs>14</Paragraphs>
  <TotalTime>0</TotalTime>
  <ScaleCrop>false</ScaleCrop>
  <LinksUpToDate>false</LinksUpToDate>
  <CharactersWithSpaces>7911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2023-04-07T07:01:54Z</dcterms:modified>
  <dc:title>《质量手册》批准发布令</dc:title>
  <cp:revision>1335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