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6"/>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XTXPS/ZN-JCX-2022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rPr>
          <w:rFonts w:eastAsia="隶书"/>
          <w:b/>
          <w:bCs/>
          <w:sz w:val="48"/>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特种设备行政许可</w:t>
      </w:r>
    </w:p>
    <w:p>
      <w:pPr>
        <w:spacing w:line="760" w:lineRule="exact"/>
        <w:jc w:val="center"/>
        <w:rPr>
          <w:rFonts w:ascii="隶书" w:hAnsi="宋体" w:eastAsia="隶书" w:cs="宋体"/>
          <w:b/>
          <w:bCs/>
          <w:sz w:val="84"/>
          <w:szCs w:val="84"/>
        </w:rPr>
      </w:pPr>
      <w:r>
        <w:rPr>
          <w:rFonts w:hint="eastAsia" w:ascii="隶书" w:hAnsi="宋体" w:eastAsia="隶书" w:cs="宋体"/>
          <w:b/>
          <w:bCs/>
          <w:sz w:val="84"/>
          <w:szCs w:val="84"/>
        </w:rPr>
        <w:t>现场鉴定评审指南</w:t>
      </w:r>
    </w:p>
    <w:p>
      <w:pPr>
        <w:spacing w:line="480" w:lineRule="exact"/>
        <w:jc w:val="center"/>
        <w:rPr>
          <w:rFonts w:ascii="隶书" w:hAnsi="宋体" w:eastAsia="隶书" w:cs="宋体"/>
          <w:b/>
          <w:bCs/>
          <w:spacing w:val="23"/>
          <w:sz w:val="84"/>
          <w:szCs w:val="84"/>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第</w:t>
      </w:r>
      <w:r>
        <w:rPr>
          <w:rFonts w:hint="eastAsia" w:ascii="隶书" w:hAnsi="宋体" w:eastAsia="隶书" w:cs="宋体"/>
          <w:b/>
          <w:bCs/>
          <w:spacing w:val="23"/>
          <w:sz w:val="72"/>
          <w:szCs w:val="72"/>
        </w:rPr>
        <w:t>1</w:t>
      </w:r>
      <w:r>
        <w:rPr>
          <w:rFonts w:hint="eastAsia" w:ascii="隶书" w:hAnsi="宋体" w:eastAsia="隶书" w:cs="宋体"/>
          <w:b/>
          <w:bCs/>
          <w:spacing w:val="23"/>
          <w:sz w:val="84"/>
          <w:szCs w:val="84"/>
        </w:rPr>
        <w:t>部分 通用指南</w:t>
      </w: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基本程序和要求</w:t>
      </w: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ascii="隶书" w:hAnsi="黑体" w:eastAsia="隶书"/>
          <w:sz w:val="52"/>
          <w:szCs w:val="52"/>
        </w:rPr>
      </w:pPr>
      <w:r>
        <w:rPr>
          <w:rFonts w:hint="eastAsia" w:ascii="隶书" w:hAnsi="黑体" w:eastAsia="隶书"/>
          <w:sz w:val="52"/>
          <w:szCs w:val="52"/>
        </w:rPr>
        <w:t xml:space="preserve">           </w:t>
      </w:r>
    </w:p>
    <w:p>
      <w:pPr>
        <w:jc w:val="center"/>
        <w:rPr>
          <w:rFonts w:eastAsia="隶书"/>
          <w:b/>
          <w:bCs/>
          <w:sz w:val="30"/>
        </w:rPr>
      </w:pPr>
    </w:p>
    <w:p>
      <w:pPr>
        <w:rPr>
          <w:rFonts w:eastAsia="隶书"/>
          <w:b/>
          <w:bCs/>
          <w:sz w:val="30"/>
        </w:rPr>
      </w:pPr>
    </w:p>
    <w:p>
      <w:pPr>
        <w:spacing w:line="360" w:lineRule="auto"/>
        <w:jc w:val="center"/>
        <w:outlineLvl w:val="0"/>
        <w:rPr>
          <w:rFonts w:hint="eastAsia" w:eastAsia="隶书"/>
          <w:b/>
          <w:sz w:val="48"/>
        </w:rPr>
      </w:pPr>
    </w:p>
    <w:p>
      <w:pPr>
        <w:spacing w:line="360" w:lineRule="auto"/>
        <w:jc w:val="center"/>
        <w:outlineLvl w:val="0"/>
        <w:rPr>
          <w:rFonts w:hint="eastAsia" w:eastAsia="隶书"/>
          <w:b/>
          <w:sz w:val="48"/>
        </w:rPr>
      </w:pPr>
    </w:p>
    <w:p>
      <w:pPr>
        <w:spacing w:line="360" w:lineRule="auto"/>
        <w:jc w:val="center"/>
        <w:outlineLvl w:val="0"/>
        <w:rPr>
          <w:rFonts w:hint="eastAsia" w:eastAsia="隶书"/>
          <w:b/>
          <w:sz w:val="48"/>
        </w:rPr>
      </w:pPr>
    </w:p>
    <w:p>
      <w:pPr>
        <w:spacing w:line="360" w:lineRule="auto"/>
        <w:jc w:val="center"/>
        <w:outlineLvl w:val="0"/>
        <w:rPr>
          <w:rFonts w:eastAsia="隶书"/>
          <w:b/>
          <w:sz w:val="48"/>
        </w:rPr>
        <w:sectPr>
          <w:headerReference r:id="rId5" w:type="default"/>
          <w:footerReference r:id="rId6" w:type="default"/>
          <w:pgSz w:w="11906" w:h="16838"/>
          <w:pgMar w:top="1304" w:right="1134" w:bottom="1021" w:left="1588" w:header="851" w:footer="992" w:gutter="0"/>
          <w:pgNumType w:fmt="upperRoman" w:start="1"/>
          <w:cols w:space="720" w:num="1"/>
          <w:docGrid w:type="lines" w:linePitch="312" w:charSpace="0"/>
        </w:sectPr>
      </w:pPr>
      <w:bookmarkStart w:id="59" w:name="_GoBack"/>
      <w:bookmarkEnd w:id="59"/>
      <w:r>
        <w:rPr>
          <w:rFonts w:hint="eastAsia" w:eastAsia="隶书"/>
          <w:b/>
          <w:sz w:val="48"/>
        </w:rPr>
        <w:t>湖南省特种设备协会</w:t>
      </w:r>
    </w:p>
    <w:p>
      <w:pPr>
        <w:spacing w:line="360" w:lineRule="auto"/>
        <w:jc w:val="center"/>
        <w:outlineLvl w:val="0"/>
        <w:rPr>
          <w:rFonts w:ascii="黑体" w:hAnsi="黑体" w:eastAsia="黑体"/>
          <w:b/>
          <w:sz w:val="32"/>
          <w:szCs w:val="32"/>
        </w:rPr>
      </w:pPr>
      <w:r>
        <w:rPr>
          <w:rFonts w:hint="eastAsia" w:ascii="黑体" w:hAnsi="黑体" w:eastAsia="黑体"/>
          <w:b/>
          <w:sz w:val="32"/>
          <w:szCs w:val="32"/>
        </w:rPr>
        <w:t>前  言</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本指南依据《中华人民共和国特种设备安全法》、《特种设备安全监察条例》、《</w:t>
      </w:r>
      <w:bookmarkStart w:id="0" w:name="OLE_LINK2"/>
      <w:bookmarkStart w:id="1" w:name="OLE_LINK1"/>
      <w:r>
        <w:rPr>
          <w:rFonts w:hint="eastAsia" w:ascii="宋体" w:hAnsi="宋体"/>
          <w:sz w:val="24"/>
        </w:rPr>
        <w:t>特种设备生产和充装单位许可规则</w:t>
      </w:r>
      <w:bookmarkEnd w:id="0"/>
      <w:bookmarkEnd w:id="1"/>
      <w:r>
        <w:rPr>
          <w:rFonts w:hint="eastAsia" w:ascii="宋体" w:hAnsi="宋体"/>
          <w:sz w:val="24"/>
        </w:rPr>
        <w:t>》、《特种设备检验机构核准规则》、《特种设备检测机构核准规则》等法律、法规、部门规章、安全技术规范和技术标准（以下简称法规标准）编制。</w:t>
      </w:r>
    </w:p>
    <w:p>
      <w:pPr>
        <w:spacing w:line="360" w:lineRule="auto"/>
        <w:ind w:firstLine="480" w:firstLineChars="200"/>
        <w:rPr>
          <w:rFonts w:ascii="宋体" w:hAnsi="宋体"/>
          <w:sz w:val="24"/>
        </w:rPr>
      </w:pPr>
      <w:r>
        <w:rPr>
          <w:rFonts w:hint="eastAsia" w:ascii="宋体" w:hAnsi="宋体"/>
          <w:sz w:val="24"/>
        </w:rPr>
        <w:t>本指南旨在指导</w:t>
      </w:r>
      <w:bookmarkStart w:id="2" w:name="OLE_LINK41"/>
      <w:bookmarkStart w:id="3" w:name="OLE_LINK42"/>
      <w:bookmarkStart w:id="4" w:name="OLE_LINK117"/>
      <w:bookmarkStart w:id="5" w:name="OLE_LINK116"/>
      <w:r>
        <w:rPr>
          <w:rFonts w:hint="eastAsia" w:ascii="宋体" w:hAnsi="宋体"/>
          <w:sz w:val="24"/>
        </w:rPr>
        <w:t>特种设备生产和充装单位及特种设备检验、检测机构</w:t>
      </w:r>
      <w:bookmarkEnd w:id="2"/>
      <w:bookmarkEnd w:id="3"/>
      <w:r>
        <w:rPr>
          <w:rFonts w:hint="eastAsia" w:ascii="宋体" w:hAnsi="宋体"/>
          <w:sz w:val="24"/>
        </w:rPr>
        <w:t>做好特种设备鉴定评审准备、现场配合及整改等工作</w:t>
      </w:r>
      <w:bookmarkEnd w:id="4"/>
      <w:bookmarkEnd w:id="5"/>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本指南适用于湖南省特种设备协会受托的特种设备生产和充装单位许可及特种设备检验、检测机构核准鉴定评审工作。</w:t>
      </w:r>
    </w:p>
    <w:p>
      <w:pPr>
        <w:spacing w:line="360" w:lineRule="auto"/>
        <w:ind w:firstLine="480" w:firstLineChars="200"/>
        <w:rPr>
          <w:rFonts w:ascii="宋体" w:hAnsi="宋体"/>
          <w:sz w:val="24"/>
        </w:rPr>
      </w:pPr>
      <w:r>
        <w:rPr>
          <w:rFonts w:hint="eastAsia" w:ascii="宋体" w:hAnsi="宋体"/>
          <w:sz w:val="24"/>
        </w:rPr>
        <w:t>除特别说明外，在本指南中，特种设备生产和充装单位许可鉴定评审简称为特种设备许可鉴定评审，特种设备检验、检测机构核准鉴定评审简称为特种设备核准鉴定评审，特种设备许可鉴定评审和特种设备核准鉴定评审统称为特种设备鉴定评审，特种设备鉴定评审简称为鉴定评审。特种设备生产单位简称为生产单位，特种设备充装单位简称为充装单位，特种设备检验机构简称为检验机构，特种设备检测机构简称为检测机构，生产单位、充装单位、检验机构和检测机构统称为申请单位。</w:t>
      </w:r>
    </w:p>
    <w:p>
      <w:pPr>
        <w:spacing w:line="360" w:lineRule="auto"/>
        <w:ind w:firstLine="480" w:firstLineChars="200"/>
        <w:rPr>
          <w:rFonts w:ascii="宋体" w:hAnsi="宋体"/>
          <w:sz w:val="24"/>
        </w:rPr>
      </w:pPr>
      <w:r>
        <w:rPr>
          <w:rFonts w:hint="eastAsia" w:ascii="宋体" w:hAnsi="宋体"/>
          <w:sz w:val="24"/>
        </w:rPr>
        <w:t>本指南由湖南省特种设备协会负责解释。</w:t>
      </w:r>
    </w:p>
    <w:p>
      <w:pPr>
        <w:spacing w:line="360" w:lineRule="auto"/>
        <w:ind w:firstLine="480" w:firstLineChars="200"/>
        <w:rPr>
          <w:rFonts w:ascii="宋体" w:hAnsi="宋体"/>
          <w:sz w:val="24"/>
        </w:rPr>
      </w:pPr>
      <w:r>
        <w:rPr>
          <w:rFonts w:hint="eastAsia" w:ascii="宋体" w:hAnsi="宋体"/>
          <w:sz w:val="24"/>
        </w:rPr>
        <w:t>本指南共包括1</w:t>
      </w:r>
      <w:r>
        <w:rPr>
          <w:rFonts w:ascii="宋体" w:hAnsi="宋体"/>
          <w:sz w:val="24"/>
        </w:rPr>
        <w:t>9</w:t>
      </w:r>
      <w:r>
        <w:rPr>
          <w:rFonts w:hint="eastAsia" w:ascii="宋体" w:hAnsi="宋体"/>
          <w:sz w:val="24"/>
        </w:rPr>
        <w:t>部分，分别为：</w:t>
      </w:r>
    </w:p>
    <w:p>
      <w:pPr>
        <w:spacing w:line="360" w:lineRule="auto"/>
        <w:ind w:firstLine="480" w:firstLineChars="200"/>
        <w:rPr>
          <w:rFonts w:ascii="宋体" w:hAnsi="宋体"/>
          <w:sz w:val="24"/>
        </w:rPr>
      </w:pPr>
      <w:r>
        <w:rPr>
          <w:rFonts w:hint="eastAsia" w:ascii="宋体" w:hAnsi="宋体"/>
          <w:sz w:val="24"/>
        </w:rPr>
        <w:t>第1部分   通用指南 基本程序和要求；</w:t>
      </w:r>
    </w:p>
    <w:p>
      <w:pPr>
        <w:spacing w:line="360" w:lineRule="auto"/>
        <w:ind w:firstLine="480" w:firstLineChars="200"/>
        <w:rPr>
          <w:rFonts w:ascii="宋体" w:hAnsi="宋体"/>
          <w:sz w:val="24"/>
        </w:rPr>
      </w:pPr>
      <w:bookmarkStart w:id="6" w:name="OLE_LINK18"/>
      <w:bookmarkStart w:id="7" w:name="OLE_LINK17"/>
      <w:r>
        <w:rPr>
          <w:rFonts w:hint="eastAsia" w:ascii="宋体" w:hAnsi="宋体"/>
          <w:sz w:val="24"/>
        </w:rPr>
        <w:t xml:space="preserve">第2部分   </w:t>
      </w:r>
      <w:bookmarkEnd w:id="6"/>
      <w:bookmarkEnd w:id="7"/>
      <w:r>
        <w:rPr>
          <w:rFonts w:hint="eastAsia" w:ascii="宋体" w:hAnsi="宋体"/>
          <w:sz w:val="24"/>
        </w:rPr>
        <w:t>专用指南 锅炉制造单位；</w:t>
      </w:r>
    </w:p>
    <w:p>
      <w:pPr>
        <w:spacing w:line="360" w:lineRule="auto"/>
        <w:ind w:firstLine="480" w:firstLineChars="200"/>
        <w:rPr>
          <w:rFonts w:ascii="宋体" w:hAnsi="宋体"/>
          <w:sz w:val="24"/>
        </w:rPr>
      </w:pPr>
      <w:r>
        <w:rPr>
          <w:rFonts w:hint="eastAsia" w:ascii="宋体" w:hAnsi="宋体"/>
          <w:sz w:val="24"/>
        </w:rPr>
        <w:t>第3部分   专用指南 锅炉安装（含修理、改造）单位；</w:t>
      </w:r>
    </w:p>
    <w:p>
      <w:pPr>
        <w:spacing w:line="360" w:lineRule="auto"/>
        <w:ind w:firstLine="480" w:firstLineChars="200"/>
        <w:rPr>
          <w:rFonts w:ascii="宋体" w:hAnsi="宋体"/>
          <w:sz w:val="24"/>
        </w:rPr>
      </w:pPr>
      <w:r>
        <w:rPr>
          <w:rFonts w:hint="eastAsia" w:ascii="宋体" w:hAnsi="宋体"/>
          <w:sz w:val="24"/>
        </w:rPr>
        <w:t xml:space="preserve">第4部分   专用指南 </w:t>
      </w:r>
      <w:r>
        <w:rPr>
          <w:rFonts w:ascii="宋体" w:hAnsi="宋体"/>
          <w:sz w:val="24"/>
        </w:rPr>
        <w:t>压力容器</w:t>
      </w:r>
      <w:r>
        <w:rPr>
          <w:rFonts w:hint="eastAsia" w:ascii="宋体" w:hAnsi="宋体"/>
          <w:sz w:val="24"/>
        </w:rPr>
        <w:t>设计单位；</w:t>
      </w:r>
    </w:p>
    <w:p>
      <w:pPr>
        <w:spacing w:line="360" w:lineRule="auto"/>
        <w:ind w:firstLine="480" w:firstLineChars="200"/>
        <w:rPr>
          <w:rFonts w:ascii="宋体" w:hAnsi="宋体"/>
          <w:sz w:val="24"/>
        </w:rPr>
      </w:pPr>
      <w:r>
        <w:rPr>
          <w:rFonts w:hint="eastAsia" w:ascii="宋体" w:hAnsi="宋体"/>
          <w:sz w:val="24"/>
        </w:rPr>
        <w:t xml:space="preserve">第5部分   专用指南 </w:t>
      </w:r>
      <w:r>
        <w:rPr>
          <w:rFonts w:ascii="宋体" w:hAnsi="宋体"/>
          <w:sz w:val="24"/>
        </w:rPr>
        <w:t>压力容器制造</w:t>
      </w:r>
      <w:r>
        <w:rPr>
          <w:rFonts w:hint="eastAsia" w:ascii="宋体" w:hAnsi="宋体"/>
          <w:sz w:val="24"/>
        </w:rPr>
        <w:t>单位；</w:t>
      </w:r>
    </w:p>
    <w:p>
      <w:pPr>
        <w:spacing w:line="360" w:lineRule="auto"/>
        <w:ind w:firstLine="480" w:firstLineChars="200"/>
        <w:rPr>
          <w:rFonts w:ascii="宋体" w:hAnsi="宋体"/>
          <w:sz w:val="24"/>
        </w:rPr>
      </w:pPr>
      <w:r>
        <w:rPr>
          <w:rFonts w:hint="eastAsia" w:ascii="宋体" w:hAnsi="宋体"/>
          <w:sz w:val="24"/>
        </w:rPr>
        <w:t xml:space="preserve">第6部分   专用指南 </w:t>
      </w:r>
      <w:r>
        <w:rPr>
          <w:rFonts w:ascii="宋体" w:hAnsi="宋体"/>
          <w:sz w:val="24"/>
        </w:rPr>
        <w:t>移动式压力容器充装</w:t>
      </w:r>
      <w:r>
        <w:rPr>
          <w:rFonts w:hint="eastAsia" w:ascii="宋体" w:hAnsi="宋体"/>
          <w:sz w:val="24"/>
        </w:rPr>
        <w:t>单位；</w:t>
      </w:r>
    </w:p>
    <w:p>
      <w:pPr>
        <w:spacing w:line="360" w:lineRule="auto"/>
        <w:ind w:firstLine="480" w:firstLineChars="200"/>
        <w:rPr>
          <w:rFonts w:ascii="宋体" w:hAnsi="宋体"/>
          <w:sz w:val="24"/>
        </w:rPr>
      </w:pPr>
      <w:r>
        <w:rPr>
          <w:rFonts w:hint="eastAsia" w:ascii="宋体" w:hAnsi="宋体"/>
          <w:sz w:val="24"/>
        </w:rPr>
        <w:t>第7部分   专用指南 气瓶充装单位；</w:t>
      </w:r>
    </w:p>
    <w:p>
      <w:pPr>
        <w:spacing w:line="360" w:lineRule="auto"/>
        <w:ind w:firstLine="480" w:firstLineChars="200"/>
        <w:rPr>
          <w:rFonts w:ascii="宋体" w:hAnsi="宋体"/>
          <w:sz w:val="24"/>
        </w:rPr>
      </w:pPr>
      <w:r>
        <w:rPr>
          <w:rFonts w:hint="eastAsia" w:ascii="宋体" w:hAnsi="宋体"/>
          <w:sz w:val="24"/>
        </w:rPr>
        <w:t>第8部分   专用指南 压力管道设计单位；</w:t>
      </w:r>
    </w:p>
    <w:p>
      <w:pPr>
        <w:spacing w:line="360" w:lineRule="auto"/>
        <w:ind w:firstLine="480" w:firstLineChars="200"/>
        <w:rPr>
          <w:rFonts w:ascii="宋体" w:hAnsi="宋体"/>
          <w:sz w:val="24"/>
        </w:rPr>
      </w:pPr>
      <w:r>
        <w:rPr>
          <w:rFonts w:hint="eastAsia" w:ascii="宋体" w:hAnsi="宋体"/>
          <w:sz w:val="24"/>
        </w:rPr>
        <w:t>第9部分   专用指南 压力管道元件制造单位；</w:t>
      </w:r>
    </w:p>
    <w:p>
      <w:pPr>
        <w:spacing w:line="360" w:lineRule="auto"/>
        <w:ind w:firstLine="480" w:firstLineChars="200"/>
        <w:rPr>
          <w:rFonts w:ascii="宋体" w:hAnsi="宋体"/>
          <w:sz w:val="24"/>
        </w:rPr>
      </w:pPr>
      <w:r>
        <w:rPr>
          <w:rFonts w:hint="eastAsia" w:ascii="宋体" w:hAnsi="宋体"/>
          <w:sz w:val="24"/>
        </w:rPr>
        <w:t>第10部分  专用指南 压力管道安装（含修理、改造）单位；</w:t>
      </w:r>
    </w:p>
    <w:p>
      <w:pPr>
        <w:spacing w:line="360" w:lineRule="auto"/>
        <w:ind w:firstLine="480" w:firstLineChars="200"/>
        <w:rPr>
          <w:rFonts w:ascii="宋体" w:hAnsi="宋体"/>
          <w:sz w:val="24"/>
        </w:rPr>
      </w:pPr>
      <w:r>
        <w:rPr>
          <w:rFonts w:hint="eastAsia" w:ascii="宋体" w:hAnsi="宋体"/>
          <w:sz w:val="24"/>
        </w:rPr>
        <w:t xml:space="preserve">第11部分  专用指南 </w:t>
      </w:r>
      <w:r>
        <w:rPr>
          <w:rFonts w:ascii="宋体" w:hAnsi="宋体"/>
          <w:sz w:val="24"/>
        </w:rPr>
        <w:t>电梯安装</w:t>
      </w:r>
      <w:r>
        <w:rPr>
          <w:rFonts w:hint="eastAsia" w:ascii="宋体" w:hAnsi="宋体"/>
          <w:sz w:val="24"/>
        </w:rPr>
        <w:t>（含修理）单位；</w:t>
      </w:r>
    </w:p>
    <w:p>
      <w:pPr>
        <w:spacing w:line="360" w:lineRule="auto"/>
        <w:ind w:firstLine="480" w:firstLineChars="200"/>
        <w:rPr>
          <w:rFonts w:ascii="宋体" w:hAnsi="宋体"/>
          <w:sz w:val="24"/>
        </w:rPr>
      </w:pPr>
      <w:r>
        <w:rPr>
          <w:rFonts w:hint="eastAsia" w:ascii="宋体" w:hAnsi="宋体"/>
          <w:sz w:val="24"/>
        </w:rPr>
        <w:t xml:space="preserve">第12部分  专用指南 </w:t>
      </w:r>
      <w:r>
        <w:rPr>
          <w:rFonts w:ascii="宋体" w:hAnsi="宋体"/>
          <w:sz w:val="24"/>
        </w:rPr>
        <w:t>起重机械</w:t>
      </w:r>
      <w:r>
        <w:rPr>
          <w:rFonts w:hint="eastAsia" w:ascii="宋体" w:hAnsi="宋体"/>
          <w:sz w:val="24"/>
        </w:rPr>
        <w:t>安装（含修理）单位；</w:t>
      </w:r>
    </w:p>
    <w:p>
      <w:pPr>
        <w:spacing w:line="360" w:lineRule="auto"/>
        <w:ind w:firstLine="480" w:firstLineChars="200"/>
        <w:rPr>
          <w:rFonts w:ascii="宋体" w:hAnsi="宋体"/>
          <w:sz w:val="24"/>
        </w:rPr>
      </w:pPr>
      <w:bookmarkStart w:id="8" w:name="OLE_LINK20"/>
      <w:bookmarkStart w:id="9" w:name="OLE_LINK19"/>
      <w:r>
        <w:rPr>
          <w:rFonts w:hint="eastAsia" w:ascii="宋体" w:hAnsi="宋体"/>
          <w:sz w:val="24"/>
        </w:rPr>
        <w:t>第13部分</w:t>
      </w:r>
      <w:bookmarkEnd w:id="8"/>
      <w:bookmarkEnd w:id="9"/>
      <w:r>
        <w:rPr>
          <w:rFonts w:hint="eastAsia" w:ascii="宋体" w:hAnsi="宋体"/>
          <w:sz w:val="24"/>
        </w:rPr>
        <w:t xml:space="preserve">  专用指南 </w:t>
      </w:r>
      <w:r>
        <w:rPr>
          <w:rFonts w:ascii="宋体" w:hAnsi="宋体"/>
          <w:sz w:val="24"/>
        </w:rPr>
        <w:t>大型游乐设施</w:t>
      </w:r>
      <w:r>
        <w:rPr>
          <w:rFonts w:hint="eastAsia" w:ascii="宋体" w:hAnsi="宋体"/>
          <w:sz w:val="24"/>
        </w:rPr>
        <w:t>安装（含修理）单位；</w:t>
      </w:r>
    </w:p>
    <w:p>
      <w:pPr>
        <w:spacing w:line="360" w:lineRule="auto"/>
        <w:ind w:firstLine="480" w:firstLineChars="200"/>
        <w:rPr>
          <w:rFonts w:ascii="宋体" w:hAnsi="宋体"/>
          <w:sz w:val="24"/>
        </w:rPr>
      </w:pPr>
      <w:bookmarkStart w:id="10" w:name="OLE_LINK22"/>
      <w:bookmarkStart w:id="11" w:name="OLE_LINK21"/>
      <w:r>
        <w:rPr>
          <w:rFonts w:hint="eastAsia" w:ascii="宋体" w:hAnsi="宋体"/>
          <w:sz w:val="24"/>
        </w:rPr>
        <w:t>第14部分</w:t>
      </w:r>
      <w:bookmarkEnd w:id="10"/>
      <w:bookmarkEnd w:id="11"/>
      <w:r>
        <w:rPr>
          <w:rFonts w:hint="eastAsia" w:ascii="宋体" w:hAnsi="宋体"/>
          <w:sz w:val="24"/>
        </w:rPr>
        <w:t xml:space="preserve">  专用指南 甲类B</w:t>
      </w:r>
      <w:r>
        <w:rPr>
          <w:rFonts w:ascii="宋体" w:hAnsi="宋体"/>
          <w:sz w:val="24"/>
        </w:rPr>
        <w:t>1检验机构</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第15部分  专用指南 气瓶检验机构；</w:t>
      </w:r>
    </w:p>
    <w:p>
      <w:pPr>
        <w:spacing w:line="360" w:lineRule="auto"/>
        <w:ind w:firstLine="480" w:firstLineChars="200"/>
        <w:rPr>
          <w:rFonts w:ascii="宋体" w:hAnsi="宋体"/>
          <w:sz w:val="24"/>
        </w:rPr>
      </w:pPr>
      <w:r>
        <w:rPr>
          <w:rFonts w:hint="eastAsia" w:ascii="宋体" w:hAnsi="宋体"/>
          <w:sz w:val="24"/>
        </w:rPr>
        <w:t>第16部分  专用指南 起重机械检验机构；</w:t>
      </w:r>
    </w:p>
    <w:p>
      <w:pPr>
        <w:spacing w:line="360" w:lineRule="auto"/>
        <w:ind w:firstLine="480" w:firstLineChars="200"/>
        <w:rPr>
          <w:rFonts w:ascii="宋体" w:hAnsi="宋体"/>
          <w:sz w:val="24"/>
        </w:rPr>
      </w:pPr>
      <w:r>
        <w:rPr>
          <w:rFonts w:hint="eastAsia" w:ascii="宋体" w:hAnsi="宋体"/>
          <w:sz w:val="24"/>
        </w:rPr>
        <w:t xml:space="preserve">第17部分  专用指南 </w:t>
      </w:r>
      <w:r>
        <w:rPr>
          <w:rFonts w:ascii="宋体" w:hAnsi="宋体"/>
          <w:sz w:val="24"/>
        </w:rPr>
        <w:t>无损检测机构</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第18部分  专用指南 </w:t>
      </w:r>
      <w:r>
        <w:rPr>
          <w:rFonts w:ascii="宋体" w:hAnsi="宋体"/>
          <w:sz w:val="24"/>
        </w:rPr>
        <w:t>电梯检测机构</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 xml:space="preserve">第19部分  专用指南 </w:t>
      </w:r>
      <w:r>
        <w:rPr>
          <w:rFonts w:ascii="宋体" w:hAnsi="宋体"/>
          <w:sz w:val="24"/>
        </w:rPr>
        <w:t>安全阀校验机构</w:t>
      </w:r>
      <w:r>
        <w:rPr>
          <w:rFonts w:hint="eastAsia" w:ascii="宋体" w:hAnsi="宋体"/>
          <w:sz w:val="24"/>
        </w:rPr>
        <w:t>。</w:t>
      </w:r>
    </w:p>
    <w:p>
      <w:pPr>
        <w:spacing w:line="360" w:lineRule="auto"/>
        <w:ind w:firstLine="480" w:firstLineChars="200"/>
        <w:rPr>
          <w:sz w:val="30"/>
        </w:rPr>
      </w:pPr>
      <w:r>
        <w:rPr>
          <w:rFonts w:hint="eastAsia" w:ascii="宋体" w:hAnsi="宋体"/>
          <w:sz w:val="24"/>
        </w:rPr>
        <w:t>本部分为 第1部分 通用指南 基本程序和要求。</w:t>
      </w:r>
    </w:p>
    <w:p>
      <w:pPr>
        <w:spacing w:before="156" w:beforeLines="50" w:after="156" w:afterLines="50" w:line="360" w:lineRule="auto"/>
        <w:jc w:val="center"/>
        <w:outlineLvl w:val="0"/>
        <w:rPr>
          <w:rFonts w:ascii="黑体" w:hAnsi="黑体" w:eastAsia="黑体" w:cs="黑体"/>
          <w:sz w:val="28"/>
          <w:szCs w:val="28"/>
        </w:rPr>
      </w:pPr>
    </w:p>
    <w:p>
      <w:pPr>
        <w:spacing w:before="312" w:beforeLines="100" w:after="100" w:afterAutospacing="1" w:line="400" w:lineRule="exact"/>
        <w:jc w:val="center"/>
        <w:outlineLvl w:val="0"/>
        <w:rPr>
          <w:rFonts w:ascii="黑体" w:hAnsi="黑体" w:eastAsia="黑体"/>
          <w:b/>
          <w:sz w:val="32"/>
          <w:szCs w:val="32"/>
        </w:rPr>
        <w:sectPr>
          <w:footerReference r:id="rId7" w:type="default"/>
          <w:pgSz w:w="11906" w:h="16838"/>
          <w:pgMar w:top="1304" w:right="1134" w:bottom="1021" w:left="1588" w:header="851" w:footer="992" w:gutter="0"/>
          <w:pgNumType w:fmt="upperRoman"/>
          <w:cols w:space="720" w:num="1"/>
          <w:docGrid w:type="lines" w:linePitch="312" w:charSpace="0"/>
        </w:sectPr>
      </w:pPr>
      <w:bookmarkStart w:id="12" w:name="OLE_LINK54"/>
      <w:bookmarkStart w:id="13" w:name="OLE_LINK53"/>
    </w:p>
    <w:bookmarkEnd w:id="12"/>
    <w:bookmarkEnd w:id="13"/>
    <w:p>
      <w:pPr>
        <w:spacing w:before="312" w:beforeLines="100" w:after="100" w:afterAutospacing="1" w:line="400" w:lineRule="exact"/>
        <w:jc w:val="center"/>
        <w:outlineLvl w:val="0"/>
        <w:rPr>
          <w:rFonts w:ascii="黑体" w:hAnsi="黑体" w:eastAsia="黑体"/>
          <w:b/>
          <w:sz w:val="32"/>
          <w:szCs w:val="32"/>
        </w:rPr>
      </w:pPr>
      <w:bookmarkStart w:id="14" w:name="OLE_LINK125"/>
      <w:bookmarkStart w:id="15" w:name="OLE_LINK124"/>
      <w:r>
        <w:rPr>
          <w:rFonts w:hint="eastAsia" w:ascii="黑体" w:hAnsi="黑体" w:eastAsia="黑体"/>
          <w:b/>
          <w:sz w:val="32"/>
          <w:szCs w:val="32"/>
        </w:rPr>
        <w:t>特种设备行政许可现场鉴定评审指南</w:t>
      </w:r>
    </w:p>
    <w:p>
      <w:pPr>
        <w:spacing w:after="312" w:afterLines="100" w:line="400" w:lineRule="exact"/>
        <w:jc w:val="center"/>
        <w:outlineLvl w:val="0"/>
        <w:rPr>
          <w:rFonts w:ascii="黑体" w:hAnsi="黑体" w:eastAsia="黑体"/>
          <w:b/>
          <w:sz w:val="32"/>
          <w:szCs w:val="32"/>
        </w:rPr>
      </w:pPr>
      <w:r>
        <w:rPr>
          <w:rFonts w:hint="eastAsia" w:ascii="黑体" w:hAnsi="黑体" w:eastAsia="黑体"/>
          <w:b/>
          <w:sz w:val="32"/>
          <w:szCs w:val="32"/>
        </w:rPr>
        <w:t>第1部分 通用指南 基本程序和要求</w:t>
      </w:r>
    </w:p>
    <w:p>
      <w:pPr>
        <w:spacing w:line="480" w:lineRule="auto"/>
        <w:outlineLvl w:val="0"/>
        <w:rPr>
          <w:rFonts w:ascii="宋体" w:hAnsi="宋体" w:cs="黑体"/>
          <w:b/>
          <w:sz w:val="24"/>
        </w:rPr>
      </w:pPr>
      <w:r>
        <w:rPr>
          <w:rFonts w:hint="eastAsia" w:ascii="宋体" w:hAnsi="宋体" w:cs="黑体"/>
          <w:b/>
          <w:sz w:val="24"/>
        </w:rPr>
        <w:t>1  范围</w:t>
      </w:r>
    </w:p>
    <w:bookmarkEnd w:id="14"/>
    <w:bookmarkEnd w:id="15"/>
    <w:p>
      <w:pPr>
        <w:spacing w:line="360" w:lineRule="auto"/>
        <w:ind w:firstLine="480" w:firstLineChars="200"/>
        <w:rPr>
          <w:rFonts w:ascii="宋体" w:hAnsi="宋体"/>
          <w:sz w:val="24"/>
        </w:rPr>
      </w:pPr>
      <w:r>
        <w:rPr>
          <w:rFonts w:hint="eastAsia" w:ascii="宋体" w:hAnsi="宋体"/>
          <w:sz w:val="24"/>
        </w:rPr>
        <w:t>本部分为特种设备行政许可现场鉴定评审指南第1部分 通用指南 基本程序和要求。</w:t>
      </w:r>
    </w:p>
    <w:p>
      <w:pPr>
        <w:spacing w:line="360" w:lineRule="auto"/>
        <w:ind w:firstLine="480" w:firstLineChars="200"/>
        <w:rPr>
          <w:rFonts w:ascii="宋体" w:hAnsi="宋体"/>
          <w:sz w:val="24"/>
        </w:rPr>
      </w:pPr>
      <w:r>
        <w:rPr>
          <w:rFonts w:hint="eastAsia" w:ascii="宋体" w:hAnsi="宋体"/>
          <w:sz w:val="24"/>
        </w:rPr>
        <w:t>本部分规定了鉴定评审</w:t>
      </w:r>
      <w:bookmarkStart w:id="16" w:name="OLE_LINK35"/>
      <w:bookmarkStart w:id="17" w:name="OLE_LINK36"/>
      <w:r>
        <w:rPr>
          <w:rFonts w:hint="eastAsia" w:ascii="宋体" w:hAnsi="宋体"/>
          <w:sz w:val="24"/>
        </w:rPr>
        <w:t>准备、现场鉴定评审、鉴定评审整改等方面的基本程序和要求。</w:t>
      </w:r>
    </w:p>
    <w:bookmarkEnd w:id="16"/>
    <w:bookmarkEnd w:id="17"/>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2.1  特种设备安全法</w:t>
      </w:r>
    </w:p>
    <w:p>
      <w:pPr>
        <w:spacing w:line="360" w:lineRule="auto"/>
        <w:ind w:firstLine="480" w:firstLineChars="200"/>
        <w:rPr>
          <w:rFonts w:ascii="宋体" w:hAnsi="宋体"/>
          <w:sz w:val="24"/>
        </w:rPr>
      </w:pPr>
      <w:r>
        <w:rPr>
          <w:rFonts w:hint="eastAsia" w:ascii="宋体" w:hAnsi="宋体"/>
          <w:sz w:val="24"/>
        </w:rPr>
        <w:t>2.2  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18" w:name="OLE_LINK115"/>
      <w:bookmarkStart w:id="19" w:name="OLE_LINK114"/>
      <w:r>
        <w:rPr>
          <w:rFonts w:hint="eastAsia" w:ascii="宋体" w:hAnsi="宋体"/>
          <w:sz w:val="24"/>
        </w:rPr>
        <w:t xml:space="preserve"> TSG 07-2019《</w:t>
      </w:r>
      <w:bookmarkStart w:id="20" w:name="OLE_LINK119"/>
      <w:r>
        <w:rPr>
          <w:rFonts w:hint="eastAsia" w:ascii="宋体" w:hAnsi="宋体"/>
          <w:sz w:val="24"/>
        </w:rPr>
        <w:t>特种设备生产和充装单位许可</w:t>
      </w:r>
      <w:bookmarkEnd w:id="20"/>
      <w:r>
        <w:rPr>
          <w:rFonts w:hint="eastAsia" w:ascii="宋体" w:hAnsi="宋体"/>
          <w:sz w:val="24"/>
        </w:rPr>
        <w:t>规则》</w:t>
      </w:r>
      <w:bookmarkEnd w:id="18"/>
      <w:bookmarkEnd w:id="19"/>
    </w:p>
    <w:p>
      <w:pPr>
        <w:spacing w:line="360" w:lineRule="auto"/>
        <w:ind w:firstLine="480" w:firstLineChars="200"/>
        <w:rPr>
          <w:rFonts w:ascii="宋体" w:hAnsi="宋体"/>
          <w:sz w:val="24"/>
        </w:rPr>
      </w:pPr>
      <w:r>
        <w:rPr>
          <w:rFonts w:hint="eastAsia" w:ascii="宋体" w:hAnsi="宋体"/>
          <w:sz w:val="24"/>
        </w:rPr>
        <w:t>2.4  TSG Z7001-2021《特种设备检验机构核准规则》</w:t>
      </w:r>
    </w:p>
    <w:p>
      <w:pPr>
        <w:spacing w:line="360" w:lineRule="auto"/>
        <w:ind w:firstLine="480" w:firstLineChars="200"/>
        <w:rPr>
          <w:rFonts w:ascii="宋体" w:hAnsi="宋体"/>
          <w:sz w:val="24"/>
        </w:rPr>
      </w:pPr>
      <w:r>
        <w:rPr>
          <w:rFonts w:hint="eastAsia" w:ascii="宋体" w:hAnsi="宋体"/>
          <w:sz w:val="24"/>
        </w:rPr>
        <w:t>2.5  TSG Z7002-2022《特种设备检测机构核准规则》</w:t>
      </w:r>
    </w:p>
    <w:p>
      <w:pPr>
        <w:spacing w:line="360" w:lineRule="auto"/>
        <w:ind w:firstLine="480" w:firstLineChars="200"/>
        <w:rPr>
          <w:rFonts w:ascii="宋体" w:hAnsi="宋体"/>
          <w:sz w:val="24"/>
        </w:rPr>
      </w:pPr>
      <w:r>
        <w:rPr>
          <w:rFonts w:hint="eastAsia" w:ascii="宋体" w:hAnsi="宋体"/>
          <w:sz w:val="24"/>
        </w:rPr>
        <w:t>2.6  市场监管总局办公厅关于加快推进全国气瓶质量安全追溯体系建设的通知（市监特设〔2019〕69号）</w:t>
      </w:r>
    </w:p>
    <w:p>
      <w:pPr>
        <w:spacing w:line="360" w:lineRule="auto"/>
        <w:ind w:firstLine="480" w:firstLineChars="200"/>
        <w:rPr>
          <w:rFonts w:ascii="宋体" w:hAnsi="宋体"/>
          <w:sz w:val="24"/>
        </w:rPr>
      </w:pPr>
      <w:r>
        <w:rPr>
          <w:rFonts w:hint="eastAsia" w:ascii="宋体" w:hAnsi="宋体"/>
          <w:sz w:val="24"/>
        </w:rPr>
        <w:t>2.7  特种设备行政许可鉴定评审技术服务基本要求（湖南省市场监督管理局2020 年2月20日印发）</w:t>
      </w:r>
    </w:p>
    <w:p>
      <w:pPr>
        <w:spacing w:line="360" w:lineRule="auto"/>
        <w:ind w:firstLine="480" w:firstLineChars="200"/>
        <w:rPr>
          <w:rFonts w:ascii="宋体" w:hAnsi="宋体"/>
          <w:sz w:val="24"/>
        </w:rPr>
      </w:pPr>
      <w:r>
        <w:rPr>
          <w:rFonts w:hint="eastAsia" w:ascii="宋体" w:hAnsi="宋体"/>
          <w:sz w:val="24"/>
        </w:rPr>
        <w:t xml:space="preserve">2.8  关于进一步规范移动式压力容器和气瓶充装资质许可工作的通知（湘市监特设函〔2022〕159号 ） </w:t>
      </w:r>
    </w:p>
    <w:p>
      <w:pPr>
        <w:spacing w:line="360" w:lineRule="auto"/>
        <w:ind w:firstLine="480" w:firstLineChars="200"/>
        <w:rPr>
          <w:rFonts w:ascii="宋体" w:hAnsi="宋体"/>
          <w:sz w:val="24"/>
        </w:rPr>
      </w:pPr>
      <w:r>
        <w:rPr>
          <w:rFonts w:hint="eastAsia" w:ascii="宋体" w:hAnsi="宋体"/>
          <w:sz w:val="24"/>
        </w:rPr>
        <w:t>2.9  其他与特种设备有关的法规标准</w:t>
      </w:r>
    </w:p>
    <w:p>
      <w:pPr>
        <w:spacing w:line="480" w:lineRule="auto"/>
        <w:outlineLvl w:val="0"/>
        <w:rPr>
          <w:rFonts w:ascii="宋体" w:hAnsi="宋体" w:cs="黑体"/>
          <w:b/>
          <w:sz w:val="24"/>
        </w:rPr>
      </w:pPr>
      <w:r>
        <w:rPr>
          <w:rFonts w:hint="eastAsia" w:ascii="宋体" w:hAnsi="宋体" w:cs="黑体"/>
          <w:b/>
          <w:sz w:val="24"/>
        </w:rPr>
        <w:t xml:space="preserve">3  术语 </w:t>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spacing w:line="480" w:lineRule="auto"/>
        <w:outlineLvl w:val="0"/>
        <w:rPr>
          <w:rFonts w:ascii="宋体" w:hAnsi="宋体" w:cs="黑体"/>
          <w:b/>
          <w:sz w:val="24"/>
        </w:rPr>
      </w:pPr>
      <w:r>
        <w:rPr>
          <w:rFonts w:hint="eastAsia" w:ascii="宋体" w:hAnsi="宋体" w:cs="黑体"/>
          <w:b/>
          <w:sz w:val="24"/>
        </w:rPr>
        <w:t>4  鉴定评审程序和要求</w:t>
      </w:r>
    </w:p>
    <w:p>
      <w:pPr>
        <w:spacing w:line="360" w:lineRule="auto"/>
        <w:ind w:firstLine="482" w:firstLineChars="200"/>
        <w:rPr>
          <w:rFonts w:ascii="宋体" w:hAnsi="宋体"/>
          <w:b/>
          <w:sz w:val="24"/>
        </w:rPr>
      </w:pPr>
      <w:r>
        <w:rPr>
          <w:rFonts w:hint="eastAsia" w:ascii="宋体" w:hAnsi="宋体"/>
          <w:b/>
          <w:sz w:val="24"/>
        </w:rPr>
        <w:t>4.1鉴定评审准备</w:t>
      </w:r>
    </w:p>
    <w:p>
      <w:pPr>
        <w:spacing w:line="360" w:lineRule="auto"/>
        <w:ind w:firstLine="480" w:firstLineChars="200"/>
        <w:rPr>
          <w:rFonts w:ascii="宋体" w:hAnsi="宋体"/>
          <w:sz w:val="24"/>
        </w:rPr>
      </w:pPr>
      <w:r>
        <w:rPr>
          <w:rFonts w:hint="eastAsia" w:ascii="宋体" w:hAnsi="宋体"/>
          <w:sz w:val="24"/>
        </w:rPr>
        <w:t>4.1.1湖南省特种设备协会（以下简称协会）在收到特种设备行政许可受理部门的委托后，由鉴定评审部于10个工作日内与申请单位联系,共同商定现场鉴定评审时间和评审组组长和成员，并向申请单位发出鉴定评审通用指南和相应专用指南。</w:t>
      </w:r>
    </w:p>
    <w:p>
      <w:pPr>
        <w:spacing w:line="360" w:lineRule="auto"/>
        <w:ind w:firstLine="480" w:firstLineChars="200"/>
        <w:rPr>
          <w:rFonts w:ascii="宋体" w:hAnsi="宋体"/>
          <w:sz w:val="24"/>
        </w:rPr>
      </w:pPr>
      <w:r>
        <w:rPr>
          <w:rFonts w:hint="eastAsia" w:ascii="宋体" w:hAnsi="宋体"/>
          <w:sz w:val="24"/>
        </w:rPr>
        <w:t>4.1.2申请单位在</w:t>
      </w:r>
      <w:bookmarkStart w:id="21" w:name="OLE_LINK4"/>
      <w:bookmarkStart w:id="22" w:name="OLE_LINK5"/>
      <w:bookmarkStart w:id="23" w:name="OLE_LINK3"/>
      <w:r>
        <w:rPr>
          <w:rFonts w:hint="eastAsia" w:ascii="宋体" w:hAnsi="宋体"/>
          <w:sz w:val="24"/>
        </w:rPr>
        <w:t>收到</w:t>
      </w:r>
      <w:bookmarkEnd w:id="21"/>
      <w:bookmarkEnd w:id="22"/>
      <w:bookmarkEnd w:id="23"/>
      <w:r>
        <w:rPr>
          <w:rFonts w:hint="eastAsia" w:ascii="宋体" w:hAnsi="宋体"/>
          <w:sz w:val="24"/>
        </w:rPr>
        <w:t>鉴定评审通用指南和相应专用指南后，应当在</w:t>
      </w:r>
      <w:bookmarkStart w:id="24" w:name="OLE_LINK7"/>
      <w:bookmarkStart w:id="25" w:name="OLE_LINK6"/>
      <w:r>
        <w:rPr>
          <w:rFonts w:hint="eastAsia" w:ascii="宋体" w:hAnsi="宋体"/>
          <w:sz w:val="24"/>
        </w:rPr>
        <w:t>5个工作日内</w:t>
      </w:r>
      <w:bookmarkEnd w:id="24"/>
      <w:bookmarkEnd w:id="25"/>
      <w:r>
        <w:rPr>
          <w:rFonts w:hint="eastAsia" w:ascii="宋体" w:hAnsi="宋体"/>
          <w:sz w:val="24"/>
        </w:rPr>
        <w:t>向协会提交鉴定评审预审资料的纸质文档或者电子文档，预审资料包括《特种设备生产和充装单位许可规则》3.4.1（3）（生产和充装单位适用）、《特种设备检验机构核准规则》3.4.1（检验机构适用）、《特种设备检测机构核准规则》3.4.1（检测机构适用）和相应专用指南“需要提交评审机构的资料”中规定的资料。</w:t>
      </w:r>
    </w:p>
    <w:p>
      <w:pPr>
        <w:spacing w:line="360" w:lineRule="auto"/>
        <w:ind w:firstLine="480" w:firstLineChars="200"/>
        <w:rPr>
          <w:rFonts w:ascii="宋体" w:hAnsi="宋体"/>
          <w:sz w:val="24"/>
        </w:rPr>
      </w:pPr>
      <w:r>
        <w:rPr>
          <w:rFonts w:hint="eastAsia" w:ascii="宋体" w:hAnsi="宋体"/>
          <w:sz w:val="24"/>
        </w:rPr>
        <w:t>4.1.3鉴定评审部在收到申请单位提交的预审资料后5个工作日内，对资料进行审查：</w:t>
      </w:r>
    </w:p>
    <w:p>
      <w:pPr>
        <w:spacing w:line="360" w:lineRule="auto"/>
        <w:ind w:firstLine="480" w:firstLineChars="200"/>
        <w:rPr>
          <w:rFonts w:ascii="宋体" w:hAnsi="宋体"/>
          <w:sz w:val="24"/>
        </w:rPr>
      </w:pPr>
      <w:r>
        <w:rPr>
          <w:rFonts w:hint="eastAsia" w:ascii="宋体" w:hAnsi="宋体"/>
          <w:sz w:val="24"/>
        </w:rPr>
        <w:t>1）资料不齐的，协会向申请单位发出</w:t>
      </w:r>
      <w:bookmarkStart w:id="26" w:name="OLE_LINK58"/>
      <w:bookmarkStart w:id="27" w:name="OLE_LINK57"/>
      <w:r>
        <w:rPr>
          <w:rFonts w:hint="eastAsia" w:ascii="宋体" w:hAnsi="宋体"/>
          <w:sz w:val="24"/>
        </w:rPr>
        <w:t>《</w:t>
      </w:r>
      <w:bookmarkStart w:id="28" w:name="OLE_LINK23"/>
      <w:bookmarkStart w:id="29" w:name="OLE_LINK24"/>
      <w:r>
        <w:rPr>
          <w:rFonts w:hint="eastAsia" w:ascii="宋体" w:hAnsi="宋体"/>
          <w:sz w:val="24"/>
        </w:rPr>
        <w:t>特种设备鉴定评审补正材料通知书</w:t>
      </w:r>
      <w:bookmarkEnd w:id="28"/>
      <w:bookmarkEnd w:id="29"/>
      <w:r>
        <w:rPr>
          <w:rFonts w:hint="eastAsia" w:ascii="宋体" w:hAnsi="宋体"/>
          <w:sz w:val="24"/>
        </w:rPr>
        <w:t>》</w:t>
      </w:r>
      <w:bookmarkEnd w:id="26"/>
      <w:bookmarkEnd w:id="27"/>
      <w:r>
        <w:rPr>
          <w:rFonts w:hint="eastAsia" w:ascii="宋体" w:hAnsi="宋体"/>
          <w:sz w:val="24"/>
        </w:rPr>
        <w:t>，一次性告知申请单位需要补正的资料，申请单位应当</w:t>
      </w:r>
      <w:bookmarkStart w:id="30" w:name="OLE_LINK63"/>
      <w:bookmarkStart w:id="31" w:name="OLE_LINK64"/>
      <w:r>
        <w:rPr>
          <w:rFonts w:hint="eastAsia" w:ascii="宋体" w:hAnsi="宋体"/>
          <w:sz w:val="24"/>
        </w:rPr>
        <w:t>在收到《特种设备鉴定评审补正材料通知书》后5个工作日内</w:t>
      </w:r>
      <w:bookmarkEnd w:id="30"/>
      <w:bookmarkEnd w:id="31"/>
      <w:r>
        <w:rPr>
          <w:rFonts w:hint="eastAsia" w:ascii="宋体" w:hAnsi="宋体"/>
          <w:sz w:val="24"/>
        </w:rPr>
        <w:t xml:space="preserve">提交补正的资料； </w:t>
      </w:r>
    </w:p>
    <w:p>
      <w:pPr>
        <w:spacing w:line="360" w:lineRule="auto"/>
        <w:ind w:firstLine="480" w:firstLineChars="200"/>
        <w:rPr>
          <w:rFonts w:ascii="宋体" w:hAnsi="宋体"/>
          <w:sz w:val="24"/>
        </w:rPr>
      </w:pPr>
      <w:r>
        <w:rPr>
          <w:rFonts w:hint="eastAsia" w:ascii="宋体" w:hAnsi="宋体"/>
          <w:sz w:val="24"/>
        </w:rPr>
        <w:t>2）资料齐全的，协会在5个工作日内向申请单位发出《</w:t>
      </w:r>
      <w:bookmarkStart w:id="32" w:name="OLE_LINK25"/>
      <w:bookmarkStart w:id="33" w:name="OLE_LINK26"/>
      <w:r>
        <w:rPr>
          <w:rFonts w:hint="eastAsia" w:ascii="宋体" w:hAnsi="宋体"/>
          <w:sz w:val="24"/>
        </w:rPr>
        <w:t>特种设备鉴定评审通知函</w:t>
      </w:r>
      <w:bookmarkEnd w:id="32"/>
      <w:bookmarkEnd w:id="33"/>
      <w:r>
        <w:rPr>
          <w:rFonts w:hint="eastAsia" w:ascii="宋体" w:hAnsi="宋体"/>
          <w:sz w:val="24"/>
        </w:rPr>
        <w:t>》，同时报送许可审批机关及其下一级特种设备安全监督管理部门。</w:t>
      </w:r>
    </w:p>
    <w:p>
      <w:pPr>
        <w:spacing w:line="360" w:lineRule="auto"/>
        <w:ind w:firstLine="480" w:firstLineChars="200"/>
        <w:rPr>
          <w:rFonts w:ascii="宋体" w:hAnsi="宋体"/>
          <w:sz w:val="24"/>
        </w:rPr>
      </w:pPr>
      <w:r>
        <w:rPr>
          <w:rFonts w:hint="eastAsia" w:ascii="宋体" w:hAnsi="宋体"/>
          <w:sz w:val="24"/>
        </w:rPr>
        <w:t>4.1.4</w:t>
      </w:r>
      <w:bookmarkStart w:id="34" w:name="OLE_LINK75"/>
      <w:bookmarkStart w:id="35" w:name="OLE_LINK76"/>
      <w:r>
        <w:rPr>
          <w:rFonts w:hint="eastAsia" w:ascii="宋体" w:hAnsi="宋体"/>
          <w:sz w:val="24"/>
        </w:rPr>
        <w:t>申请单位有正当理由认为评审组人员组成不利于鉴定评审的公正性，或者认为不能保护申请单位的商业秘密、知识产权等，应当在收到协会的《特种设备鉴定评审通知函》后，2个工作日内书面向协会提出。协会确认后，对评审组人员予以调整。</w:t>
      </w:r>
    </w:p>
    <w:bookmarkEnd w:id="34"/>
    <w:bookmarkEnd w:id="35"/>
    <w:p>
      <w:pPr>
        <w:spacing w:line="360" w:lineRule="auto"/>
        <w:ind w:firstLine="480" w:firstLineChars="200"/>
        <w:rPr>
          <w:rFonts w:ascii="宋体" w:hAnsi="宋体"/>
          <w:sz w:val="24"/>
        </w:rPr>
      </w:pPr>
      <w:r>
        <w:rPr>
          <w:rFonts w:hint="eastAsia" w:ascii="宋体" w:hAnsi="宋体"/>
          <w:sz w:val="24"/>
        </w:rPr>
        <w:t>4.1.5申请单位在收到协会的《特种设备鉴定评审通知函》后,应在现场鉴定评审前做好下列准备工作：</w:t>
      </w:r>
    </w:p>
    <w:p>
      <w:pPr>
        <w:spacing w:line="360" w:lineRule="auto"/>
        <w:ind w:firstLine="480" w:firstLineChars="200"/>
        <w:rPr>
          <w:rFonts w:ascii="宋体" w:hAnsi="宋体"/>
          <w:sz w:val="24"/>
        </w:rPr>
      </w:pPr>
      <w:r>
        <w:rPr>
          <w:rFonts w:hint="eastAsia" w:ascii="宋体" w:hAnsi="宋体"/>
          <w:sz w:val="24"/>
        </w:rPr>
        <w:t>1）及时与评审组成员取得联系，确定评审组成员日程安排等事项；</w:t>
      </w:r>
    </w:p>
    <w:p>
      <w:pPr>
        <w:spacing w:line="360" w:lineRule="auto"/>
        <w:ind w:firstLine="480" w:firstLineChars="200"/>
        <w:rPr>
          <w:rFonts w:ascii="宋体" w:hAnsi="宋体"/>
          <w:sz w:val="24"/>
        </w:rPr>
      </w:pPr>
      <w:r>
        <w:rPr>
          <w:rFonts w:hint="eastAsia" w:ascii="宋体" w:hAnsi="宋体"/>
          <w:sz w:val="24"/>
        </w:rPr>
        <w:t>2）协助鉴定评审组安排行程、住宿及工作用餐事宜，食宿、交通等费用由协会承担；</w:t>
      </w:r>
    </w:p>
    <w:p>
      <w:pPr>
        <w:spacing w:line="360" w:lineRule="auto"/>
        <w:ind w:firstLine="480" w:firstLineChars="200"/>
        <w:rPr>
          <w:rFonts w:ascii="宋体" w:hAnsi="宋体"/>
          <w:sz w:val="24"/>
        </w:rPr>
      </w:pPr>
      <w:r>
        <w:rPr>
          <w:rFonts w:hint="eastAsia" w:ascii="宋体" w:hAnsi="宋体"/>
          <w:sz w:val="24"/>
        </w:rPr>
        <w:t>3）按照《特种设备行政许可现场鉴定评审指南》通用指南和相应专用指南的要求做好迎审准备工作。</w:t>
      </w:r>
    </w:p>
    <w:p>
      <w:pPr>
        <w:spacing w:line="360" w:lineRule="auto"/>
        <w:ind w:firstLine="482" w:firstLineChars="200"/>
        <w:rPr>
          <w:rFonts w:ascii="宋体" w:hAnsi="宋体"/>
          <w:b/>
          <w:sz w:val="24"/>
        </w:rPr>
      </w:pPr>
      <w:r>
        <w:rPr>
          <w:rFonts w:hint="eastAsia" w:ascii="宋体" w:hAnsi="宋体"/>
          <w:b/>
          <w:sz w:val="24"/>
        </w:rPr>
        <w:t>4.2现场鉴定评审</w:t>
      </w:r>
    </w:p>
    <w:p>
      <w:pPr>
        <w:spacing w:line="360" w:lineRule="auto"/>
        <w:ind w:firstLine="480" w:firstLineChars="200"/>
        <w:rPr>
          <w:rFonts w:ascii="宋体" w:hAnsi="宋体"/>
          <w:sz w:val="24"/>
        </w:rPr>
      </w:pPr>
      <w:r>
        <w:rPr>
          <w:rFonts w:hint="eastAsia" w:ascii="宋体" w:hAnsi="宋体"/>
          <w:sz w:val="24"/>
        </w:rPr>
        <w:t>4.2.1 预备会</w:t>
      </w:r>
    </w:p>
    <w:p>
      <w:pPr>
        <w:spacing w:line="360" w:lineRule="auto"/>
        <w:ind w:firstLine="480" w:firstLineChars="200"/>
        <w:rPr>
          <w:rFonts w:ascii="宋体" w:hAnsi="宋体"/>
          <w:sz w:val="24"/>
        </w:rPr>
      </w:pPr>
      <w:r>
        <w:rPr>
          <w:rFonts w:hint="eastAsia" w:ascii="宋体" w:hAnsi="宋体"/>
          <w:sz w:val="24"/>
        </w:rPr>
        <w:t>评审组长到达评审所在地后组织召开由全体评审组成员、当地特种设备安全监督管理部门（以下简称监管部门）代表和申请单位负责人（或法定代表人）参加的预备会，确认申请单位的申请项目，明确评审组成员分工（一般分为资源条件组；质量管理体系组；</w:t>
      </w:r>
      <w:bookmarkStart w:id="36" w:name="OLE_LINK70"/>
      <w:bookmarkStart w:id="37" w:name="OLE_LINK69"/>
      <w:r>
        <w:rPr>
          <w:rFonts w:hint="eastAsia" w:ascii="宋体" w:hAnsi="宋体"/>
          <w:sz w:val="24"/>
        </w:rPr>
        <w:t>生产、充装、检验或检测工作质量</w:t>
      </w:r>
      <w:bookmarkEnd w:id="36"/>
      <w:bookmarkEnd w:id="37"/>
      <w:r>
        <w:rPr>
          <w:rFonts w:hint="eastAsia" w:ascii="宋体" w:hAnsi="宋体"/>
          <w:sz w:val="24"/>
        </w:rPr>
        <w:t>或能力组）、评审日程、评审程序、评审要求、评审方法等。</w:t>
      </w:r>
    </w:p>
    <w:p>
      <w:pPr>
        <w:spacing w:line="360" w:lineRule="auto"/>
        <w:ind w:firstLine="480" w:firstLineChars="200"/>
        <w:rPr>
          <w:rFonts w:ascii="宋体" w:hAnsi="宋体"/>
          <w:sz w:val="24"/>
        </w:rPr>
      </w:pPr>
      <w:r>
        <w:rPr>
          <w:rFonts w:hint="eastAsia" w:ascii="宋体" w:hAnsi="宋体"/>
          <w:sz w:val="24"/>
        </w:rPr>
        <w:t>评审组长视情况，可将预备会议与首次会议合并召开。</w:t>
      </w:r>
    </w:p>
    <w:p>
      <w:pPr>
        <w:spacing w:line="360" w:lineRule="auto"/>
        <w:ind w:firstLine="480" w:firstLineChars="200"/>
        <w:rPr>
          <w:rFonts w:ascii="宋体" w:hAnsi="宋体"/>
          <w:sz w:val="24"/>
        </w:rPr>
      </w:pPr>
      <w:r>
        <w:rPr>
          <w:rFonts w:hint="eastAsia" w:ascii="宋体" w:hAnsi="宋体"/>
          <w:sz w:val="24"/>
        </w:rPr>
        <w:t xml:space="preserve">4.2.2首次会议 </w:t>
      </w:r>
    </w:p>
    <w:p>
      <w:pPr>
        <w:spacing w:line="360" w:lineRule="auto"/>
        <w:ind w:firstLine="480" w:firstLineChars="200"/>
        <w:rPr>
          <w:rFonts w:ascii="宋体" w:hAnsi="宋体"/>
          <w:sz w:val="24"/>
        </w:rPr>
      </w:pPr>
      <w:r>
        <w:rPr>
          <w:rFonts w:hint="eastAsia" w:ascii="宋体" w:hAnsi="宋体"/>
          <w:sz w:val="24"/>
        </w:rPr>
        <w:t>4.2.2.1首次会议由评审组长主持，全体评审组成员、监管部门代表和申请单位有关人员参加。</w:t>
      </w:r>
    </w:p>
    <w:p>
      <w:pPr>
        <w:spacing w:line="320" w:lineRule="exact"/>
        <w:ind w:firstLine="482" w:firstLineChars="200"/>
        <w:rPr>
          <w:rFonts w:ascii="楷体" w:hAnsi="楷体" w:eastAsia="楷体"/>
          <w:b/>
          <w:sz w:val="24"/>
        </w:rPr>
      </w:pPr>
      <w:r>
        <w:rPr>
          <w:rFonts w:hint="eastAsia" w:ascii="楷体" w:hAnsi="楷体" w:eastAsia="楷体"/>
          <w:b/>
          <w:sz w:val="24"/>
        </w:rPr>
        <w:t>注：申请单位有关人员是指：</w:t>
      </w:r>
    </w:p>
    <w:p>
      <w:pPr>
        <w:spacing w:line="320" w:lineRule="exact"/>
        <w:ind w:firstLine="482" w:firstLineChars="200"/>
        <w:rPr>
          <w:rFonts w:ascii="楷体" w:hAnsi="楷体" w:eastAsia="楷体"/>
          <w:b/>
          <w:sz w:val="24"/>
        </w:rPr>
      </w:pPr>
      <w:r>
        <w:rPr>
          <w:rFonts w:hint="eastAsia" w:ascii="楷体" w:hAnsi="楷体" w:eastAsia="楷体"/>
          <w:b/>
          <w:sz w:val="24"/>
        </w:rPr>
        <w:t xml:space="preserve">a）特种设备生产单位: </w:t>
      </w:r>
    </w:p>
    <w:p>
      <w:pPr>
        <w:spacing w:line="320" w:lineRule="exact"/>
        <w:ind w:firstLine="482" w:firstLineChars="200"/>
        <w:rPr>
          <w:rFonts w:ascii="楷体" w:hAnsi="楷体" w:eastAsia="楷体"/>
          <w:b/>
          <w:sz w:val="24"/>
        </w:rPr>
      </w:pPr>
      <w:r>
        <w:rPr>
          <w:rFonts w:hint="eastAsia" w:ascii="楷体" w:hAnsi="楷体" w:eastAsia="楷体"/>
          <w:b/>
          <w:sz w:val="24"/>
        </w:rPr>
        <w:t>---单位负责人、技术负责人(许可规则有要求时)、质量保证工程师等必须参会；</w:t>
      </w:r>
    </w:p>
    <w:p>
      <w:pPr>
        <w:spacing w:line="320" w:lineRule="exact"/>
        <w:ind w:firstLine="482" w:firstLineChars="200"/>
        <w:rPr>
          <w:rFonts w:ascii="楷体" w:hAnsi="楷体" w:eastAsia="楷体"/>
          <w:b/>
          <w:sz w:val="24"/>
        </w:rPr>
      </w:pPr>
      <w:r>
        <w:rPr>
          <w:rFonts w:hint="eastAsia" w:ascii="楷体" w:hAnsi="楷体" w:eastAsia="楷体"/>
          <w:b/>
          <w:sz w:val="24"/>
        </w:rPr>
        <w:t>---其他质量保证体系人员、主要技术人员、检测人员、持证特种设备作业人员不少于70%参会；</w:t>
      </w:r>
    </w:p>
    <w:p>
      <w:pPr>
        <w:spacing w:line="320" w:lineRule="exact"/>
        <w:ind w:firstLine="482" w:firstLineChars="200"/>
        <w:rPr>
          <w:rFonts w:ascii="楷体" w:hAnsi="楷体" w:eastAsia="楷体"/>
          <w:b/>
          <w:sz w:val="24"/>
        </w:rPr>
      </w:pPr>
      <w:r>
        <w:rPr>
          <w:rFonts w:hint="eastAsia" w:ascii="楷体" w:hAnsi="楷体" w:eastAsia="楷体"/>
          <w:b/>
          <w:sz w:val="24"/>
        </w:rPr>
        <w:t>b）特种设备充装单位：</w:t>
      </w:r>
    </w:p>
    <w:p>
      <w:pPr>
        <w:spacing w:line="320" w:lineRule="exact"/>
        <w:ind w:firstLine="482" w:firstLineChars="200"/>
        <w:rPr>
          <w:rFonts w:ascii="楷体" w:hAnsi="楷体" w:eastAsia="楷体"/>
          <w:b/>
          <w:sz w:val="24"/>
        </w:rPr>
      </w:pPr>
      <w:r>
        <w:rPr>
          <w:rFonts w:hint="eastAsia" w:ascii="楷体" w:hAnsi="楷体" w:eastAsia="楷体"/>
          <w:b/>
          <w:sz w:val="24"/>
        </w:rPr>
        <w:t>---单位负责人、技术负责人、安全管理负责人必须参会；</w:t>
      </w:r>
    </w:p>
    <w:p>
      <w:pPr>
        <w:spacing w:line="320" w:lineRule="exact"/>
        <w:ind w:firstLine="482" w:firstLineChars="200"/>
        <w:rPr>
          <w:rFonts w:ascii="楷体" w:hAnsi="楷体" w:eastAsia="楷体"/>
          <w:b/>
          <w:sz w:val="24"/>
        </w:rPr>
      </w:pPr>
      <w:r>
        <w:rPr>
          <w:rFonts w:hint="eastAsia" w:ascii="楷体" w:hAnsi="楷体" w:eastAsia="楷体"/>
          <w:b/>
          <w:sz w:val="24"/>
        </w:rPr>
        <w:t>---持证充装人员、分析化验人员等不少于70%参会；</w:t>
      </w:r>
    </w:p>
    <w:p>
      <w:pPr>
        <w:spacing w:line="320" w:lineRule="exact"/>
        <w:ind w:firstLine="482" w:firstLineChars="200"/>
        <w:rPr>
          <w:rFonts w:ascii="楷体" w:hAnsi="楷体" w:eastAsia="楷体"/>
          <w:b/>
          <w:sz w:val="24"/>
        </w:rPr>
      </w:pPr>
      <w:r>
        <w:rPr>
          <w:rFonts w:hint="eastAsia" w:ascii="楷体" w:hAnsi="楷体" w:eastAsia="楷体"/>
          <w:b/>
          <w:sz w:val="24"/>
        </w:rPr>
        <w:t>c）检验机构和检测机构：</w:t>
      </w:r>
    </w:p>
    <w:p>
      <w:pPr>
        <w:spacing w:line="320" w:lineRule="exact"/>
        <w:ind w:firstLine="482" w:firstLineChars="200"/>
        <w:rPr>
          <w:rFonts w:ascii="楷体" w:hAnsi="楷体" w:eastAsia="楷体"/>
          <w:b/>
          <w:sz w:val="24"/>
        </w:rPr>
      </w:pPr>
      <w:r>
        <w:rPr>
          <w:rFonts w:hint="eastAsia" w:ascii="楷体" w:hAnsi="楷体" w:eastAsia="楷体"/>
          <w:b/>
          <w:sz w:val="24"/>
        </w:rPr>
        <w:t>---单位负责人、技术负责人、质量负责人、报告审批人员（有规定的）必须参会；</w:t>
      </w:r>
    </w:p>
    <w:p>
      <w:pPr>
        <w:spacing w:line="320" w:lineRule="exact"/>
        <w:ind w:firstLine="482" w:firstLineChars="200"/>
        <w:rPr>
          <w:rFonts w:ascii="楷体" w:hAnsi="楷体" w:eastAsia="楷体"/>
          <w:b/>
          <w:sz w:val="24"/>
        </w:rPr>
      </w:pPr>
      <w:r>
        <w:rPr>
          <w:rFonts w:hint="eastAsia" w:ascii="楷体" w:hAnsi="楷体" w:eastAsia="楷体"/>
          <w:b/>
          <w:sz w:val="24"/>
        </w:rPr>
        <w:t>---责任工程师、其他持证检验检测人员等不少于70%参会。</w:t>
      </w:r>
    </w:p>
    <w:p>
      <w:pPr>
        <w:spacing w:line="360" w:lineRule="auto"/>
        <w:ind w:firstLine="480" w:firstLineChars="200"/>
        <w:rPr>
          <w:rFonts w:ascii="宋体" w:hAnsi="宋体"/>
          <w:sz w:val="24"/>
        </w:rPr>
      </w:pPr>
      <w:r>
        <w:rPr>
          <w:rFonts w:hint="eastAsia" w:ascii="宋体" w:hAnsi="宋体"/>
          <w:sz w:val="24"/>
        </w:rPr>
        <w:t>4.2.2.2首次会议时间一般为 30～50 分钟，与会人员在《首次会议签到表》上签名。具体程序如下：</w:t>
      </w:r>
    </w:p>
    <w:p>
      <w:pPr>
        <w:spacing w:line="360" w:lineRule="auto"/>
        <w:ind w:firstLine="480" w:firstLineChars="200"/>
        <w:rPr>
          <w:rFonts w:ascii="宋体" w:hAnsi="宋体"/>
          <w:sz w:val="24"/>
        </w:rPr>
      </w:pPr>
      <w:r>
        <w:rPr>
          <w:rFonts w:hint="eastAsia" w:ascii="宋体" w:hAnsi="宋体"/>
          <w:sz w:val="24"/>
        </w:rPr>
        <w:t>a）与会各方代表介绍到会人员；</w:t>
      </w:r>
    </w:p>
    <w:p>
      <w:pPr>
        <w:spacing w:line="360" w:lineRule="auto"/>
        <w:ind w:firstLine="480" w:firstLineChars="200"/>
        <w:rPr>
          <w:rFonts w:ascii="宋体" w:hAnsi="宋体"/>
          <w:sz w:val="24"/>
        </w:rPr>
      </w:pPr>
      <w:r>
        <w:rPr>
          <w:rFonts w:hint="eastAsia" w:ascii="宋体" w:hAnsi="宋体"/>
          <w:sz w:val="24"/>
        </w:rPr>
        <w:t>b）评审组长说明评审依据、评审范围、评审日程、评审程序、评审分工，以及总结会议的计划时间及内容，并征求申请单位的意见；</w:t>
      </w:r>
    </w:p>
    <w:p>
      <w:pPr>
        <w:spacing w:line="360" w:lineRule="auto"/>
        <w:ind w:firstLine="480" w:firstLineChars="200"/>
        <w:rPr>
          <w:rFonts w:ascii="宋体" w:hAnsi="宋体"/>
          <w:sz w:val="24"/>
        </w:rPr>
      </w:pPr>
      <w:r>
        <w:rPr>
          <w:rFonts w:hint="eastAsia" w:ascii="宋体" w:hAnsi="宋体"/>
          <w:sz w:val="24"/>
        </w:rPr>
        <w:t>c）申请单位负责人简要介绍现有许可（核准）项目、资源条件、质量管理（保证）体系建立和运行情况以及生产、充装、检验或检测工作质量或能力控制等情况；</w:t>
      </w:r>
    </w:p>
    <w:p>
      <w:pPr>
        <w:spacing w:line="360" w:lineRule="auto"/>
        <w:ind w:firstLine="480" w:firstLineChars="200"/>
        <w:rPr>
          <w:rFonts w:ascii="宋体" w:hAnsi="宋体"/>
          <w:sz w:val="24"/>
        </w:rPr>
      </w:pPr>
      <w:r>
        <w:rPr>
          <w:rFonts w:hint="eastAsia" w:ascii="宋体" w:hAnsi="宋体"/>
          <w:sz w:val="24"/>
        </w:rPr>
        <w:t>d）评审组长与申请单位负责人明确需要澄清的其他问题；</w:t>
      </w:r>
    </w:p>
    <w:p>
      <w:pPr>
        <w:spacing w:line="360" w:lineRule="auto"/>
        <w:ind w:firstLine="480" w:firstLineChars="200"/>
        <w:rPr>
          <w:rFonts w:ascii="宋体" w:hAnsi="宋体"/>
          <w:sz w:val="24"/>
        </w:rPr>
      </w:pPr>
      <w:r>
        <w:rPr>
          <w:rFonts w:hint="eastAsia" w:ascii="宋体" w:hAnsi="宋体"/>
          <w:sz w:val="24"/>
        </w:rPr>
        <w:t>e）评审组长与申请单位明确评审组的工作场所、工作条件以及联络与配合人员；</w:t>
      </w:r>
    </w:p>
    <w:p>
      <w:pPr>
        <w:spacing w:line="360" w:lineRule="auto"/>
        <w:ind w:firstLine="480" w:firstLineChars="200"/>
        <w:rPr>
          <w:rFonts w:ascii="宋体" w:hAnsi="宋体"/>
          <w:sz w:val="24"/>
        </w:rPr>
      </w:pPr>
      <w:r>
        <w:rPr>
          <w:rFonts w:hint="eastAsia" w:ascii="宋体" w:hAnsi="宋体"/>
          <w:sz w:val="24"/>
        </w:rPr>
        <w:t>f）评审组长代表评审组做出客观、公正、保密的承诺；</w:t>
      </w:r>
    </w:p>
    <w:p>
      <w:pPr>
        <w:spacing w:line="360" w:lineRule="auto"/>
        <w:ind w:firstLine="480" w:firstLineChars="200"/>
        <w:rPr>
          <w:rFonts w:ascii="宋体" w:hAnsi="宋体"/>
          <w:sz w:val="24"/>
        </w:rPr>
      </w:pPr>
      <w:r>
        <w:rPr>
          <w:rFonts w:hint="eastAsia" w:ascii="宋体" w:hAnsi="宋体"/>
          <w:sz w:val="24"/>
        </w:rPr>
        <w:t>g）监管部门代表提出有关监管要求。</w:t>
      </w:r>
    </w:p>
    <w:p>
      <w:pPr>
        <w:spacing w:line="360" w:lineRule="auto"/>
        <w:ind w:firstLine="480" w:firstLineChars="200"/>
        <w:rPr>
          <w:rFonts w:ascii="宋体" w:hAnsi="宋体"/>
          <w:sz w:val="24"/>
        </w:rPr>
      </w:pPr>
      <w:r>
        <w:rPr>
          <w:rFonts w:hint="eastAsia" w:ascii="宋体" w:hAnsi="宋体"/>
          <w:sz w:val="24"/>
        </w:rPr>
        <w:t xml:space="preserve">4.2.3现场巡视 </w:t>
      </w:r>
    </w:p>
    <w:p>
      <w:pPr>
        <w:spacing w:line="360" w:lineRule="auto"/>
        <w:ind w:firstLine="480" w:firstLineChars="200"/>
        <w:rPr>
          <w:rFonts w:ascii="宋体" w:hAnsi="宋体"/>
          <w:sz w:val="24"/>
        </w:rPr>
      </w:pPr>
      <w:r>
        <w:rPr>
          <w:rFonts w:hint="eastAsia" w:ascii="宋体" w:hAnsi="宋体"/>
          <w:sz w:val="24"/>
        </w:rPr>
        <w:t>首次会议结束后，评审组巡视申请单位办公场所、生产和充装场所（生产和充装单位适用）、检验检测场所及试验场所（检验检测机构适用）。</w:t>
      </w:r>
    </w:p>
    <w:p>
      <w:pPr>
        <w:spacing w:line="360" w:lineRule="auto"/>
        <w:ind w:firstLine="480" w:firstLineChars="200"/>
        <w:rPr>
          <w:rFonts w:ascii="宋体" w:hAnsi="宋体"/>
          <w:sz w:val="24"/>
        </w:rPr>
      </w:pPr>
      <w:r>
        <w:rPr>
          <w:rFonts w:hint="eastAsia" w:ascii="宋体" w:hAnsi="宋体"/>
          <w:sz w:val="24"/>
        </w:rPr>
        <w:t>4.2.4分组评审要求：</w:t>
      </w:r>
    </w:p>
    <w:p>
      <w:pPr>
        <w:spacing w:line="360" w:lineRule="auto"/>
        <w:ind w:firstLine="480" w:firstLineChars="200"/>
        <w:rPr>
          <w:rFonts w:ascii="宋体" w:hAnsi="宋体"/>
          <w:sz w:val="24"/>
        </w:rPr>
      </w:pPr>
      <w:r>
        <w:rPr>
          <w:rFonts w:hint="eastAsia" w:ascii="宋体" w:hAnsi="宋体"/>
          <w:sz w:val="24"/>
        </w:rPr>
        <w:t>4.2.4.1评审组一般分为资源条件组；质量管理体系组；生产、充装、检验或检测工作质量或能力组。</w:t>
      </w:r>
    </w:p>
    <w:p>
      <w:pPr>
        <w:spacing w:line="360" w:lineRule="auto"/>
        <w:ind w:firstLine="480" w:firstLineChars="200"/>
        <w:rPr>
          <w:rFonts w:ascii="宋体" w:hAnsi="宋体"/>
          <w:sz w:val="24"/>
        </w:rPr>
      </w:pPr>
      <w:r>
        <w:rPr>
          <w:rFonts w:hint="eastAsia" w:ascii="宋体" w:hAnsi="宋体"/>
          <w:sz w:val="24"/>
        </w:rPr>
        <w:t>4.2.4.2资源条件的评审应当由评审组组长执行。</w:t>
      </w:r>
    </w:p>
    <w:p>
      <w:pPr>
        <w:spacing w:line="360" w:lineRule="auto"/>
        <w:ind w:firstLine="480" w:firstLineChars="200"/>
        <w:rPr>
          <w:rFonts w:ascii="宋体" w:hAnsi="宋体"/>
          <w:sz w:val="24"/>
        </w:rPr>
      </w:pPr>
      <w:r>
        <w:rPr>
          <w:rFonts w:hint="eastAsia" w:ascii="宋体" w:hAnsi="宋体"/>
          <w:sz w:val="24"/>
        </w:rPr>
        <w:t>4.2.4.3分组评审的内容、方法、需要提供和提交的见证资料等按照相应专用指南的要求实施。</w:t>
      </w:r>
    </w:p>
    <w:p>
      <w:pPr>
        <w:spacing w:line="360" w:lineRule="auto"/>
        <w:ind w:firstLine="480" w:firstLineChars="200"/>
        <w:rPr>
          <w:rFonts w:ascii="宋体" w:hAnsi="宋体"/>
          <w:sz w:val="24"/>
        </w:rPr>
      </w:pPr>
      <w:r>
        <w:rPr>
          <w:rFonts w:hint="eastAsia" w:ascii="宋体" w:hAnsi="宋体"/>
          <w:sz w:val="24"/>
        </w:rPr>
        <w:t xml:space="preserve">4.2.5评审组内部沟通 </w:t>
      </w:r>
    </w:p>
    <w:p>
      <w:pPr>
        <w:spacing w:line="360" w:lineRule="auto"/>
        <w:ind w:firstLine="480" w:firstLineChars="200"/>
        <w:rPr>
          <w:rFonts w:ascii="宋体" w:hAnsi="宋体"/>
          <w:sz w:val="24"/>
        </w:rPr>
      </w:pPr>
      <w:r>
        <w:rPr>
          <w:rFonts w:hint="eastAsia" w:ascii="宋体" w:hAnsi="宋体"/>
          <w:sz w:val="24"/>
        </w:rPr>
        <w:t>每日评审工作结束后，评审组应进行内部沟通，小结评审工作情况。必要时，可针对具体情况调整工作计划。</w:t>
      </w:r>
    </w:p>
    <w:p>
      <w:pPr>
        <w:spacing w:line="360" w:lineRule="auto"/>
        <w:ind w:firstLine="480" w:firstLineChars="200"/>
        <w:rPr>
          <w:rFonts w:ascii="宋体" w:hAnsi="宋体"/>
          <w:sz w:val="24"/>
        </w:rPr>
      </w:pPr>
      <w:r>
        <w:rPr>
          <w:rFonts w:hint="eastAsia" w:ascii="宋体" w:hAnsi="宋体"/>
          <w:sz w:val="24"/>
        </w:rPr>
        <w:t>4.2.6与监管部门及申请单位沟通</w:t>
      </w:r>
    </w:p>
    <w:p>
      <w:pPr>
        <w:spacing w:line="360" w:lineRule="auto"/>
        <w:ind w:firstLine="480" w:firstLineChars="200"/>
        <w:rPr>
          <w:rFonts w:ascii="宋体" w:hAnsi="宋体"/>
          <w:sz w:val="24"/>
        </w:rPr>
      </w:pPr>
      <w:r>
        <w:rPr>
          <w:rFonts w:hint="eastAsia" w:ascii="宋体" w:hAnsi="宋体"/>
          <w:sz w:val="24"/>
        </w:rPr>
        <w:t>4.2.6.1评审组内部会议后，评审组长主持召开意见沟通会议，沟通评审工作情况。各评审小组简要介绍分组评审情况，并逐项说明存在的问题，就这些问题征询申请单位的意见。取得一致意见后，评审组长与申请单位负责人签署《</w:t>
      </w:r>
      <w:bookmarkStart w:id="38" w:name="OLE_LINK121"/>
      <w:bookmarkStart w:id="39" w:name="OLE_LINK126"/>
      <w:r>
        <w:rPr>
          <w:rFonts w:hint="eastAsia" w:ascii="宋体" w:hAnsi="宋体"/>
          <w:sz w:val="24"/>
        </w:rPr>
        <w:t>特种设备鉴定评审工作备忘录</w:t>
      </w:r>
      <w:bookmarkEnd w:id="38"/>
      <w:bookmarkEnd w:id="39"/>
      <w:r>
        <w:rPr>
          <w:rFonts w:hint="eastAsia" w:ascii="宋体" w:hAnsi="宋体"/>
          <w:sz w:val="24"/>
        </w:rPr>
        <w:t>》。《特种设备鉴定评审工作备忘录》一式四份，评审组留两份、申请单位、监管部门代表各执一份。意见沟通会议参加人员包括评审组成员、监管部门代表和申请单位主要负责人。</w:t>
      </w:r>
    </w:p>
    <w:p>
      <w:pPr>
        <w:spacing w:line="360" w:lineRule="auto"/>
        <w:ind w:firstLine="480" w:firstLineChars="200"/>
        <w:rPr>
          <w:rFonts w:ascii="宋体" w:hAnsi="宋体"/>
          <w:sz w:val="24"/>
        </w:rPr>
      </w:pPr>
      <w:r>
        <w:rPr>
          <w:rFonts w:hint="eastAsia" w:ascii="宋体" w:hAnsi="宋体"/>
          <w:sz w:val="24"/>
        </w:rPr>
        <w:t>4.2.6.2若申请单位拒绝签署《特种设备鉴定评审工作备忘录》的，申请单位应向评审组陈述理由，并形成书面文件。书面文件加盖申请单位公章后，由评审组长提交至协会。</w:t>
      </w:r>
    </w:p>
    <w:p>
      <w:pPr>
        <w:spacing w:line="360" w:lineRule="auto"/>
        <w:ind w:firstLine="480" w:firstLineChars="200"/>
        <w:rPr>
          <w:rFonts w:ascii="宋体" w:hAnsi="宋体"/>
          <w:sz w:val="24"/>
        </w:rPr>
      </w:pPr>
      <w:r>
        <w:rPr>
          <w:rFonts w:hint="eastAsia" w:ascii="宋体" w:hAnsi="宋体"/>
          <w:sz w:val="24"/>
        </w:rPr>
        <w:t>评审组长视情况，可将意见沟通会议与总结会议合并召开。</w:t>
      </w:r>
    </w:p>
    <w:p>
      <w:pPr>
        <w:spacing w:line="360" w:lineRule="auto"/>
        <w:ind w:firstLine="480" w:firstLineChars="200"/>
        <w:rPr>
          <w:rFonts w:ascii="宋体" w:hAnsi="宋体"/>
          <w:sz w:val="24"/>
        </w:rPr>
      </w:pPr>
      <w:r>
        <w:rPr>
          <w:rFonts w:hint="eastAsia" w:ascii="宋体" w:hAnsi="宋体"/>
          <w:sz w:val="24"/>
        </w:rPr>
        <w:t xml:space="preserve">4.2.7总结会议 </w:t>
      </w:r>
    </w:p>
    <w:p>
      <w:pPr>
        <w:spacing w:line="360" w:lineRule="auto"/>
        <w:ind w:firstLine="480" w:firstLineChars="200"/>
        <w:rPr>
          <w:rFonts w:ascii="宋体" w:hAnsi="宋体"/>
          <w:sz w:val="24"/>
        </w:rPr>
      </w:pPr>
      <w:r>
        <w:rPr>
          <w:rFonts w:hint="eastAsia" w:ascii="宋体" w:hAnsi="宋体"/>
          <w:sz w:val="24"/>
        </w:rPr>
        <w:t>总结会议由评审组长主持，评审组全体成员、监管部门代表、申请单位有关人员参加。总结会议时间一般为 30～50 分钟。总结会议一般包括下述内容：</w:t>
      </w:r>
    </w:p>
    <w:p>
      <w:pPr>
        <w:spacing w:line="360" w:lineRule="auto"/>
        <w:ind w:firstLine="480" w:firstLineChars="200"/>
        <w:rPr>
          <w:rFonts w:ascii="宋体" w:hAnsi="宋体"/>
          <w:sz w:val="24"/>
        </w:rPr>
      </w:pPr>
      <w:r>
        <w:rPr>
          <w:rFonts w:hint="eastAsia" w:ascii="宋体" w:hAnsi="宋体"/>
          <w:sz w:val="24"/>
        </w:rPr>
        <w:t>a）评审组长对现场鉴定评审工作做概要总结；</w:t>
      </w:r>
    </w:p>
    <w:p>
      <w:pPr>
        <w:spacing w:line="360" w:lineRule="auto"/>
        <w:ind w:firstLine="480" w:firstLineChars="200"/>
        <w:rPr>
          <w:rFonts w:ascii="宋体" w:hAnsi="宋体"/>
          <w:sz w:val="24"/>
        </w:rPr>
      </w:pPr>
      <w:r>
        <w:rPr>
          <w:rFonts w:hint="eastAsia" w:ascii="宋体" w:hAnsi="宋体"/>
          <w:sz w:val="24"/>
        </w:rPr>
        <w:t>b）评审组长介绍评审情况，宣读《</w:t>
      </w:r>
      <w:bookmarkStart w:id="40" w:name="OLE_LINK27"/>
      <w:bookmarkStart w:id="41" w:name="OLE_LINK28"/>
      <w:r>
        <w:rPr>
          <w:rFonts w:hint="eastAsia" w:ascii="宋体" w:hAnsi="宋体"/>
          <w:sz w:val="24"/>
        </w:rPr>
        <w:t>特种设备鉴定评审工作备忘录</w:t>
      </w:r>
      <w:bookmarkEnd w:id="40"/>
      <w:bookmarkEnd w:id="41"/>
      <w:r>
        <w:rPr>
          <w:rFonts w:hint="eastAsia" w:ascii="宋体" w:hAnsi="宋体"/>
          <w:sz w:val="24"/>
        </w:rPr>
        <w:t>》及现场鉴定评审结论（分为符合条件、需要整改、不符合条件三种）；</w:t>
      </w:r>
    </w:p>
    <w:p>
      <w:pPr>
        <w:spacing w:line="360" w:lineRule="auto"/>
        <w:ind w:firstLine="480" w:firstLineChars="200"/>
        <w:rPr>
          <w:rFonts w:ascii="宋体" w:hAnsi="宋体"/>
          <w:sz w:val="24"/>
        </w:rPr>
      </w:pPr>
      <w:r>
        <w:rPr>
          <w:rFonts w:hint="eastAsia" w:ascii="宋体" w:hAnsi="宋体"/>
          <w:sz w:val="24"/>
        </w:rPr>
        <w:t>c）评审组长说明因鉴定评审的局限性、时限性而可能带来的风险，告知申请单位申诉、投诉的权利和途径。再次声明评审组在客观、公正、保密等方面的承诺。告知申请单位存在的问题及其整改期限和整改方式；</w:t>
      </w:r>
    </w:p>
    <w:p>
      <w:pPr>
        <w:spacing w:line="360" w:lineRule="auto"/>
        <w:ind w:firstLine="480" w:firstLineChars="200"/>
        <w:rPr>
          <w:rFonts w:ascii="宋体" w:hAnsi="宋体"/>
          <w:sz w:val="24"/>
        </w:rPr>
      </w:pPr>
      <w:r>
        <w:rPr>
          <w:rFonts w:hint="eastAsia" w:ascii="宋体" w:hAnsi="宋体"/>
          <w:sz w:val="24"/>
        </w:rPr>
        <w:t>d）申请单位主要负责人表态发言；</w:t>
      </w:r>
    </w:p>
    <w:p>
      <w:pPr>
        <w:spacing w:line="360" w:lineRule="auto"/>
        <w:ind w:firstLine="480" w:firstLineChars="200"/>
        <w:rPr>
          <w:rFonts w:ascii="宋体" w:hAnsi="宋体"/>
          <w:sz w:val="24"/>
        </w:rPr>
      </w:pPr>
      <w:r>
        <w:rPr>
          <w:rFonts w:hint="eastAsia" w:ascii="宋体" w:hAnsi="宋体"/>
          <w:sz w:val="24"/>
        </w:rPr>
        <w:t>e）监管部门代表讲话；</w:t>
      </w:r>
    </w:p>
    <w:p>
      <w:pPr>
        <w:spacing w:line="360" w:lineRule="auto"/>
        <w:ind w:firstLine="480" w:firstLineChars="200"/>
        <w:rPr>
          <w:rFonts w:ascii="宋体" w:hAnsi="宋体"/>
          <w:sz w:val="24"/>
        </w:rPr>
      </w:pPr>
      <w:r>
        <w:rPr>
          <w:rFonts w:hint="eastAsia" w:ascii="宋体" w:hAnsi="宋体"/>
          <w:sz w:val="24"/>
        </w:rPr>
        <w:t>f）评审组长说明其它有关事宜（如向申请单位说明存在问题的整改要求等）。</w:t>
      </w:r>
    </w:p>
    <w:p>
      <w:pPr>
        <w:spacing w:line="320" w:lineRule="exact"/>
        <w:ind w:firstLine="482" w:firstLineChars="200"/>
        <w:rPr>
          <w:rFonts w:ascii="楷体" w:hAnsi="楷体" w:eastAsia="楷体"/>
          <w:b/>
          <w:sz w:val="24"/>
        </w:rPr>
      </w:pPr>
      <w:r>
        <w:rPr>
          <w:rFonts w:hint="eastAsia" w:ascii="楷体" w:hAnsi="楷体" w:eastAsia="楷体"/>
          <w:b/>
          <w:sz w:val="24"/>
        </w:rPr>
        <w:t>注：“申请单位有关人员”与本指南4.2.2.1所述“申请单位有关人员”相同。</w:t>
      </w:r>
    </w:p>
    <w:p>
      <w:pPr>
        <w:spacing w:line="360" w:lineRule="auto"/>
        <w:ind w:firstLine="480" w:firstLineChars="200"/>
        <w:rPr>
          <w:rFonts w:ascii="宋体" w:hAnsi="宋体"/>
          <w:sz w:val="24"/>
        </w:rPr>
      </w:pPr>
      <w:r>
        <w:rPr>
          <w:rFonts w:hint="eastAsia" w:ascii="宋体" w:hAnsi="宋体"/>
          <w:sz w:val="24"/>
        </w:rPr>
        <w:t>4.2.8中止评审</w:t>
      </w:r>
    </w:p>
    <w:p>
      <w:pPr>
        <w:spacing w:line="360" w:lineRule="auto"/>
        <w:ind w:firstLine="480" w:firstLineChars="200"/>
        <w:rPr>
          <w:rFonts w:ascii="宋体" w:hAnsi="宋体"/>
          <w:sz w:val="24"/>
        </w:rPr>
      </w:pPr>
      <w:r>
        <w:rPr>
          <w:rFonts w:hint="eastAsia" w:ascii="宋体" w:hAnsi="宋体"/>
          <w:sz w:val="24"/>
        </w:rPr>
        <w:t>4.2.8.1如遇到以下情况，现场鉴定评审可能中止：</w:t>
      </w:r>
    </w:p>
    <w:p>
      <w:pPr>
        <w:spacing w:line="360" w:lineRule="auto"/>
        <w:ind w:firstLine="480" w:firstLineChars="200"/>
        <w:rPr>
          <w:rFonts w:ascii="宋体" w:hAnsi="宋体"/>
          <w:sz w:val="24"/>
        </w:rPr>
      </w:pPr>
      <w:r>
        <w:rPr>
          <w:rFonts w:hint="eastAsia" w:ascii="宋体" w:hAnsi="宋体"/>
          <w:sz w:val="24"/>
        </w:rPr>
        <w:t>1）评审现场存在安全隐患，继续评审可能对人员生命安全构成威胁；</w:t>
      </w:r>
    </w:p>
    <w:p>
      <w:pPr>
        <w:spacing w:line="360" w:lineRule="auto"/>
        <w:ind w:firstLine="480" w:firstLineChars="200"/>
        <w:rPr>
          <w:rFonts w:ascii="宋体" w:hAnsi="宋体"/>
          <w:sz w:val="24"/>
        </w:rPr>
      </w:pPr>
      <w:r>
        <w:rPr>
          <w:rFonts w:hint="eastAsia" w:ascii="宋体" w:hAnsi="宋体"/>
          <w:sz w:val="24"/>
        </w:rPr>
        <w:t>2）评审现场环境条件恶劣，继续评审可能对人员健康造成损害；</w:t>
      </w:r>
    </w:p>
    <w:p>
      <w:pPr>
        <w:spacing w:line="360" w:lineRule="auto"/>
        <w:ind w:firstLine="480" w:firstLineChars="200"/>
        <w:rPr>
          <w:rFonts w:ascii="宋体" w:hAnsi="宋体"/>
          <w:sz w:val="24"/>
        </w:rPr>
      </w:pPr>
      <w:r>
        <w:rPr>
          <w:rFonts w:hint="eastAsia" w:ascii="宋体" w:hAnsi="宋体"/>
          <w:sz w:val="24"/>
        </w:rPr>
        <w:t>3）申请单位故意干扰或拒绝配合鉴定评审人员的正常评审工作；</w:t>
      </w:r>
    </w:p>
    <w:p>
      <w:pPr>
        <w:spacing w:line="360" w:lineRule="auto"/>
        <w:ind w:firstLine="480" w:firstLineChars="200"/>
        <w:rPr>
          <w:rFonts w:ascii="宋体" w:hAnsi="宋体"/>
          <w:sz w:val="24"/>
        </w:rPr>
      </w:pPr>
      <w:r>
        <w:rPr>
          <w:rFonts w:hint="eastAsia" w:ascii="宋体" w:hAnsi="宋体"/>
          <w:sz w:val="24"/>
        </w:rPr>
        <w:t>4）申请单位关键岗位人员不能正常履职；</w:t>
      </w:r>
    </w:p>
    <w:p>
      <w:pPr>
        <w:spacing w:line="360" w:lineRule="auto"/>
        <w:ind w:firstLine="480" w:firstLineChars="200"/>
        <w:rPr>
          <w:rFonts w:ascii="宋体" w:hAnsi="宋体"/>
          <w:sz w:val="24"/>
        </w:rPr>
      </w:pPr>
      <w:r>
        <w:rPr>
          <w:rFonts w:hint="eastAsia" w:ascii="宋体" w:hAnsi="宋体"/>
          <w:sz w:val="24"/>
        </w:rPr>
        <w:t>5）其它使现场鉴定评审工作无法继续进行的情况。</w:t>
      </w:r>
    </w:p>
    <w:p>
      <w:pPr>
        <w:spacing w:line="360" w:lineRule="auto"/>
        <w:ind w:firstLine="480" w:firstLineChars="200"/>
        <w:rPr>
          <w:rFonts w:ascii="宋体" w:hAnsi="宋体"/>
          <w:sz w:val="24"/>
        </w:rPr>
      </w:pPr>
      <w:r>
        <w:rPr>
          <w:rFonts w:hint="eastAsia" w:ascii="宋体" w:hAnsi="宋体"/>
          <w:sz w:val="24"/>
        </w:rPr>
        <w:t>4.2.8.2对于现场鉴定评审被中止的，申请单位应当在解除中止评审的情况后，重新与协会商定现场鉴定评审人员和时间。</w:t>
      </w:r>
    </w:p>
    <w:p>
      <w:pPr>
        <w:spacing w:line="360" w:lineRule="auto"/>
        <w:ind w:firstLine="482" w:firstLineChars="200"/>
        <w:rPr>
          <w:rFonts w:ascii="宋体" w:hAnsi="宋体"/>
          <w:b/>
          <w:sz w:val="24"/>
        </w:rPr>
      </w:pPr>
      <w:r>
        <w:rPr>
          <w:rFonts w:hint="eastAsia" w:ascii="宋体" w:hAnsi="宋体"/>
          <w:b/>
          <w:sz w:val="24"/>
        </w:rPr>
        <w:t>4.3鉴定评审整改</w:t>
      </w:r>
    </w:p>
    <w:p>
      <w:pPr>
        <w:spacing w:line="360" w:lineRule="auto"/>
        <w:ind w:firstLine="480" w:firstLineChars="200"/>
        <w:rPr>
          <w:rFonts w:ascii="宋体" w:hAnsi="宋体"/>
          <w:sz w:val="24"/>
        </w:rPr>
      </w:pPr>
      <w:r>
        <w:rPr>
          <w:rFonts w:hint="eastAsia" w:ascii="宋体" w:hAnsi="宋体"/>
          <w:sz w:val="24"/>
        </w:rPr>
        <w:t>4.3.1申请单位应当按照《特种设备鉴定评审工作备忘录》、《</w:t>
      </w:r>
      <w:bookmarkStart w:id="42" w:name="OLE_LINK43"/>
      <w:r>
        <w:rPr>
          <w:rFonts w:hint="eastAsia" w:ascii="宋体" w:hAnsi="宋体"/>
          <w:sz w:val="24"/>
        </w:rPr>
        <w:t>特种设备鉴定评审整改报告编制要求</w:t>
      </w:r>
      <w:bookmarkEnd w:id="42"/>
      <w:r>
        <w:rPr>
          <w:rFonts w:hint="eastAsia" w:ascii="宋体" w:hAnsi="宋体"/>
          <w:sz w:val="24"/>
        </w:rPr>
        <w:t>》（附录A）的规定完成整改工作，并向鉴定评审组提交</w:t>
      </w:r>
      <w:bookmarkStart w:id="43" w:name="OLE_LINK38"/>
      <w:bookmarkStart w:id="44" w:name="OLE_LINK37"/>
      <w:r>
        <w:rPr>
          <w:rFonts w:hint="eastAsia" w:ascii="宋体" w:hAnsi="宋体"/>
          <w:sz w:val="24"/>
        </w:rPr>
        <w:t>《</w:t>
      </w:r>
      <w:bookmarkStart w:id="45" w:name="OLE_LINK31"/>
      <w:bookmarkStart w:id="46" w:name="OLE_LINK32"/>
      <w:r>
        <w:rPr>
          <w:rFonts w:hint="eastAsia" w:ascii="宋体" w:hAnsi="宋体"/>
          <w:sz w:val="24"/>
        </w:rPr>
        <w:t>特种设备鉴定评审</w:t>
      </w:r>
      <w:bookmarkEnd w:id="45"/>
      <w:bookmarkEnd w:id="46"/>
      <w:r>
        <w:rPr>
          <w:rFonts w:hint="eastAsia" w:ascii="宋体" w:hAnsi="宋体"/>
          <w:sz w:val="24"/>
        </w:rPr>
        <w:t>整改报告》</w:t>
      </w:r>
      <w:bookmarkEnd w:id="43"/>
      <w:bookmarkEnd w:id="44"/>
      <w:r>
        <w:rPr>
          <w:rFonts w:hint="eastAsia" w:ascii="宋体" w:hAnsi="宋体"/>
          <w:sz w:val="24"/>
        </w:rPr>
        <w:t>（附录B）。</w:t>
      </w:r>
    </w:p>
    <w:p>
      <w:pPr>
        <w:spacing w:line="360" w:lineRule="auto"/>
        <w:ind w:firstLine="480" w:firstLineChars="200"/>
        <w:rPr>
          <w:rFonts w:ascii="宋体" w:hAnsi="宋体"/>
          <w:sz w:val="24"/>
        </w:rPr>
      </w:pPr>
      <w:r>
        <w:rPr>
          <w:rFonts w:hint="eastAsia" w:ascii="宋体" w:hAnsi="宋体"/>
          <w:sz w:val="24"/>
        </w:rPr>
        <w:t>4.3.2通常情况下，申请单位应在接收到《特种设备鉴定评审工作备忘录》后3个月内完成整改，如因特殊原因无法在3个月内完成整改的，申请单位应书面向协会提出申请，经协会同意可以适当延长整改期限，但延长期限最多不得超过3个月。申请单位逾期未完成整改工作的，评审组将出具结论为“不符合条件”的鉴定评审报告。</w:t>
      </w:r>
    </w:p>
    <w:p>
      <w:pPr>
        <w:spacing w:line="360" w:lineRule="auto"/>
        <w:ind w:firstLine="480" w:firstLineChars="200"/>
        <w:rPr>
          <w:rFonts w:ascii="宋体" w:hAnsi="宋体"/>
          <w:sz w:val="24"/>
        </w:rPr>
      </w:pPr>
      <w:r>
        <w:rPr>
          <w:rFonts w:hint="eastAsia" w:ascii="宋体" w:hAnsi="宋体"/>
          <w:sz w:val="24"/>
        </w:rPr>
        <w:t xml:space="preserve">4.3.3整改确认 </w:t>
      </w:r>
    </w:p>
    <w:p>
      <w:pPr>
        <w:spacing w:line="360" w:lineRule="auto"/>
        <w:ind w:firstLine="480" w:firstLineChars="200"/>
        <w:rPr>
          <w:rFonts w:ascii="宋体" w:hAnsi="宋体"/>
          <w:sz w:val="24"/>
        </w:rPr>
      </w:pPr>
      <w:r>
        <w:rPr>
          <w:rFonts w:hint="eastAsia" w:ascii="宋体" w:hAnsi="宋体"/>
          <w:sz w:val="24"/>
        </w:rPr>
        <w:t>1）整改确认方式分资料确认和现场确认。</w:t>
      </w:r>
    </w:p>
    <w:p>
      <w:pPr>
        <w:spacing w:line="360" w:lineRule="auto"/>
        <w:ind w:firstLine="480" w:firstLineChars="200"/>
        <w:rPr>
          <w:rFonts w:ascii="宋体" w:hAnsi="宋体"/>
          <w:sz w:val="24"/>
        </w:rPr>
      </w:pPr>
      <w:r>
        <w:rPr>
          <w:rFonts w:hint="eastAsia" w:ascii="宋体" w:hAnsi="宋体"/>
          <w:sz w:val="24"/>
        </w:rPr>
        <w:t>2）资料确认：《特种设备鉴定评审工作备忘录》规定的资料确认项目，申请单位应当</w:t>
      </w:r>
      <w:bookmarkStart w:id="47" w:name="OLE_LINK40"/>
      <w:bookmarkStart w:id="48" w:name="OLE_LINK39"/>
      <w:r>
        <w:rPr>
          <w:rFonts w:hint="eastAsia" w:ascii="宋体" w:hAnsi="宋体"/>
          <w:sz w:val="24"/>
        </w:rPr>
        <w:t>在规定的期限内将《</w:t>
      </w:r>
      <w:bookmarkStart w:id="49" w:name="OLE_LINK45"/>
      <w:r>
        <w:rPr>
          <w:rFonts w:hint="eastAsia" w:ascii="宋体" w:hAnsi="宋体"/>
          <w:sz w:val="24"/>
        </w:rPr>
        <w:t>特种设备鉴定评审整改报告</w:t>
      </w:r>
      <w:bookmarkEnd w:id="49"/>
      <w:r>
        <w:rPr>
          <w:rFonts w:hint="eastAsia" w:ascii="宋体" w:hAnsi="宋体"/>
          <w:sz w:val="24"/>
        </w:rPr>
        <w:t>》及相应整改见证材料提交至</w:t>
      </w:r>
      <w:bookmarkEnd w:id="47"/>
      <w:bookmarkEnd w:id="48"/>
      <w:r>
        <w:rPr>
          <w:rFonts w:hint="eastAsia" w:ascii="宋体" w:hAnsi="宋体"/>
          <w:sz w:val="24"/>
        </w:rPr>
        <w:t>现场鉴定评审组确认。</w:t>
      </w:r>
    </w:p>
    <w:p>
      <w:pPr>
        <w:spacing w:line="360" w:lineRule="auto"/>
        <w:ind w:firstLine="480" w:firstLineChars="200"/>
        <w:rPr>
          <w:rFonts w:ascii="宋体" w:hAnsi="宋体"/>
          <w:sz w:val="24"/>
        </w:rPr>
      </w:pPr>
      <w:r>
        <w:rPr>
          <w:rFonts w:hint="eastAsia" w:ascii="宋体" w:hAnsi="宋体"/>
          <w:sz w:val="24"/>
        </w:rPr>
        <w:t>3）现场确认：《特种设备鉴定评审工作备忘录》规定的现场确认项目，申请单位应当在完成现场整改后，及时告知鉴定评审组。鉴定评审组在收到申请单位的告知后3个工作日内进行现场确认（</w:t>
      </w:r>
      <w:r>
        <w:rPr>
          <w:rFonts w:hint="eastAsia" w:ascii="宋体" w:hAnsi="宋体"/>
          <w:bCs/>
          <w:sz w:val="24"/>
        </w:rPr>
        <w:t>必要时可邀请监管部门代表参加</w:t>
      </w:r>
      <w:r>
        <w:rPr>
          <w:rFonts w:hint="eastAsia" w:ascii="宋体" w:hAnsi="宋体"/>
          <w:sz w:val="24"/>
        </w:rPr>
        <w:t>）。经现场确认后，申请单位在《特种设备鉴定评审工作备忘录》规定的期限内将《特种设备鉴定评审整改报告》及相应整改见证材料提交至鉴定评审组。</w:t>
      </w:r>
    </w:p>
    <w:p>
      <w:pPr>
        <w:spacing w:line="480" w:lineRule="auto"/>
        <w:outlineLvl w:val="0"/>
        <w:rPr>
          <w:rFonts w:ascii="宋体" w:hAnsi="宋体" w:cs="黑体"/>
          <w:b/>
          <w:sz w:val="24"/>
        </w:rPr>
      </w:pPr>
      <w:r>
        <w:rPr>
          <w:rFonts w:hint="eastAsia" w:ascii="宋体" w:hAnsi="宋体" w:cs="黑体"/>
          <w:b/>
          <w:sz w:val="24"/>
        </w:rPr>
        <w:t>5  附录</w:t>
      </w:r>
    </w:p>
    <w:p>
      <w:pPr>
        <w:spacing w:line="360" w:lineRule="auto"/>
        <w:ind w:firstLine="480" w:firstLineChars="200"/>
        <w:rPr>
          <w:rFonts w:ascii="宋体" w:hAnsi="宋体"/>
          <w:sz w:val="24"/>
        </w:rPr>
      </w:pPr>
      <w:r>
        <w:rPr>
          <w:rFonts w:hint="eastAsia" w:ascii="宋体" w:hAnsi="宋体"/>
          <w:sz w:val="24"/>
        </w:rPr>
        <w:t>附录A  特种设备鉴定评审整改报告编制要求</w:t>
      </w:r>
      <w:bookmarkStart w:id="50" w:name="OLE_LINK136"/>
      <w:bookmarkStart w:id="51" w:name="OLE_LINK106"/>
      <w:bookmarkStart w:id="52" w:name="OLE_LINK93"/>
      <w:bookmarkStart w:id="53" w:name="OLE_LINK107"/>
      <w:bookmarkStart w:id="54" w:name="OLE_LINK98"/>
      <w:bookmarkStart w:id="55" w:name="OLE_LINK99"/>
      <w:bookmarkStart w:id="56" w:name="OLE_LINK138"/>
      <w:bookmarkStart w:id="57" w:name="OLE_LINK100"/>
      <w:bookmarkStart w:id="58" w:name="OLE_LINK92"/>
    </w:p>
    <w:p>
      <w:pPr>
        <w:spacing w:line="360" w:lineRule="auto"/>
        <w:ind w:firstLine="480" w:firstLineChars="200"/>
        <w:rPr>
          <w:rFonts w:ascii="黑体" w:hAnsi="黑体" w:eastAsia="黑体" w:cs="黑体"/>
          <w:b/>
          <w:bCs/>
          <w:sz w:val="32"/>
          <w:szCs w:val="32"/>
        </w:rPr>
      </w:pPr>
      <w:r>
        <w:rPr>
          <w:rFonts w:hint="eastAsia" w:ascii="宋体" w:hAnsi="宋体"/>
          <w:sz w:val="24"/>
        </w:rPr>
        <w:t>附录B  特种设备鉴定评审整改报告</w:t>
      </w:r>
      <w:r>
        <w:rPr>
          <w:rFonts w:hint="eastAsia" w:ascii="宋体" w:hAnsi="宋体" w:cs="黑体"/>
          <w:sz w:val="28"/>
          <w:szCs w:val="28"/>
        </w:rPr>
        <w:br w:type="page"/>
      </w:r>
    </w:p>
    <w:bookmarkEnd w:id="50"/>
    <w:bookmarkEnd w:id="51"/>
    <w:bookmarkEnd w:id="52"/>
    <w:bookmarkEnd w:id="53"/>
    <w:bookmarkEnd w:id="54"/>
    <w:bookmarkEnd w:id="55"/>
    <w:bookmarkEnd w:id="56"/>
    <w:bookmarkEnd w:id="57"/>
    <w:bookmarkEnd w:id="58"/>
    <w:p>
      <w:pPr>
        <w:adjustRightInd w:val="0"/>
        <w:snapToGrid w:val="0"/>
        <w:spacing w:line="360" w:lineRule="auto"/>
        <w:rPr>
          <w:rFonts w:ascii="宋体" w:hAnsi="宋体" w:cs="宋体"/>
          <w:sz w:val="24"/>
        </w:rPr>
      </w:pPr>
      <w:r>
        <w:rPr>
          <w:rFonts w:hint="eastAsia" w:ascii="宋体" w:hAnsi="宋体" w:cs="宋体"/>
          <w:sz w:val="24"/>
        </w:rPr>
        <w:t>附录A</w:t>
      </w:r>
    </w:p>
    <w:p>
      <w:pPr>
        <w:adjustRightInd w:val="0"/>
        <w:snapToGrid w:val="0"/>
        <w:spacing w:line="360" w:lineRule="auto"/>
        <w:jc w:val="center"/>
        <w:rPr>
          <w:rFonts w:ascii="宋体" w:hAnsi="宋体"/>
          <w:b/>
          <w:bCs/>
          <w:sz w:val="32"/>
          <w:szCs w:val="32"/>
        </w:rPr>
      </w:pPr>
      <w:r>
        <w:rPr>
          <w:rFonts w:hint="eastAsia" w:ascii="宋体" w:hAnsi="宋体"/>
          <w:b/>
          <w:bCs/>
          <w:sz w:val="32"/>
          <w:szCs w:val="32"/>
        </w:rPr>
        <w:t>特种设备鉴定评审</w:t>
      </w:r>
      <w:r>
        <w:rPr>
          <w:rFonts w:ascii="宋体" w:hAnsi="宋体"/>
          <w:b/>
          <w:bCs/>
          <w:sz w:val="32"/>
          <w:szCs w:val="32"/>
        </w:rPr>
        <w:t>整改报告编制要求</w:t>
      </w:r>
    </w:p>
    <w:p>
      <w:pPr>
        <w:spacing w:line="480" w:lineRule="auto"/>
        <w:outlineLvl w:val="0"/>
        <w:rPr>
          <w:rFonts w:ascii="宋体" w:hAnsi="宋体" w:cs="黑体"/>
          <w:b/>
          <w:sz w:val="24"/>
        </w:rPr>
      </w:pPr>
      <w:r>
        <w:rPr>
          <w:rFonts w:hint="eastAsia" w:ascii="宋体" w:hAnsi="宋体" w:cs="黑体"/>
          <w:b/>
          <w:sz w:val="24"/>
        </w:rPr>
        <w:t xml:space="preserve">1  </w:t>
      </w:r>
      <w:r>
        <w:rPr>
          <w:rFonts w:ascii="宋体" w:hAnsi="宋体" w:cs="黑体"/>
          <w:b/>
          <w:sz w:val="24"/>
        </w:rPr>
        <w:t>总体要求</w:t>
      </w:r>
    </w:p>
    <w:p>
      <w:pPr>
        <w:spacing w:line="360" w:lineRule="auto"/>
        <w:ind w:firstLine="480" w:firstLineChars="200"/>
        <w:rPr>
          <w:rFonts w:ascii="宋体" w:hAnsi="宋体"/>
          <w:sz w:val="24"/>
        </w:rPr>
      </w:pPr>
      <w:r>
        <w:rPr>
          <w:rFonts w:hint="eastAsia" w:ascii="宋体" w:hAnsi="宋体"/>
          <w:sz w:val="24"/>
        </w:rPr>
        <w:t>1.1</w:t>
      </w:r>
      <w:r>
        <w:rPr>
          <w:rFonts w:ascii="宋体" w:hAnsi="宋体"/>
          <w:sz w:val="24"/>
        </w:rPr>
        <w:t>申请</w:t>
      </w:r>
      <w:r>
        <w:rPr>
          <w:rFonts w:hint="eastAsia" w:ascii="宋体" w:hAnsi="宋体"/>
          <w:sz w:val="24"/>
        </w:rPr>
        <w:t>单位</w:t>
      </w:r>
      <w:r>
        <w:rPr>
          <w:rFonts w:ascii="宋体" w:hAnsi="宋体"/>
          <w:sz w:val="24"/>
        </w:rPr>
        <w:t>提交的整改报告应按照</w:t>
      </w:r>
      <w:r>
        <w:rPr>
          <w:rFonts w:hint="eastAsia" w:ascii="宋体" w:hAnsi="宋体"/>
          <w:sz w:val="24"/>
        </w:rPr>
        <w:t>协会</w:t>
      </w:r>
      <w:r>
        <w:rPr>
          <w:rFonts w:ascii="宋体" w:hAnsi="宋体"/>
          <w:sz w:val="24"/>
        </w:rPr>
        <w:t>提供的格式编制。</w:t>
      </w:r>
    </w:p>
    <w:p>
      <w:pPr>
        <w:spacing w:line="360" w:lineRule="auto"/>
        <w:ind w:firstLine="480" w:firstLineChars="200"/>
        <w:rPr>
          <w:rFonts w:ascii="宋体" w:hAnsi="宋体"/>
          <w:sz w:val="24"/>
        </w:rPr>
      </w:pPr>
      <w:r>
        <w:rPr>
          <w:rFonts w:hint="eastAsia" w:ascii="宋体" w:hAnsi="宋体"/>
          <w:sz w:val="24"/>
        </w:rPr>
        <w:t>1.2</w:t>
      </w:r>
      <w:r>
        <w:rPr>
          <w:rFonts w:ascii="宋体" w:hAnsi="宋体"/>
          <w:sz w:val="24"/>
        </w:rPr>
        <w:t>整改</w:t>
      </w:r>
      <w:r>
        <w:rPr>
          <w:rFonts w:hint="eastAsia" w:ascii="宋体" w:hAnsi="宋体"/>
          <w:sz w:val="24"/>
        </w:rPr>
        <w:t>报告</w:t>
      </w:r>
      <w:r>
        <w:rPr>
          <w:rFonts w:ascii="宋体" w:hAnsi="宋体"/>
          <w:sz w:val="24"/>
        </w:rPr>
        <w:t>应按《特种设备鉴定评审整改报告》封面、目录、《特种设备鉴定评审</w:t>
      </w:r>
      <w:r>
        <w:rPr>
          <w:rFonts w:hint="eastAsia" w:ascii="宋体" w:hAnsi="宋体"/>
          <w:sz w:val="24"/>
        </w:rPr>
        <w:t>工作备忘录</w:t>
      </w:r>
      <w:r>
        <w:rPr>
          <w:rFonts w:ascii="宋体" w:hAnsi="宋体"/>
          <w:sz w:val="24"/>
        </w:rPr>
        <w:t>》（复印件）、整改报告正文、附件1、附件 2</w:t>
      </w:r>
      <w:r>
        <w:rPr>
          <w:rFonts w:hint="eastAsia" w:ascii="宋体" w:hAnsi="宋体"/>
          <w:sz w:val="24"/>
        </w:rPr>
        <w:t>、</w:t>
      </w:r>
      <w:r>
        <w:rPr>
          <w:rFonts w:ascii="宋体" w:hAnsi="宋体"/>
          <w:sz w:val="24"/>
        </w:rPr>
        <w:t>……的顺序装订成册。</w:t>
      </w:r>
    </w:p>
    <w:p>
      <w:pPr>
        <w:spacing w:line="360" w:lineRule="auto"/>
        <w:ind w:firstLine="480" w:firstLineChars="200"/>
        <w:rPr>
          <w:rFonts w:ascii="宋体" w:hAnsi="宋体"/>
          <w:sz w:val="24"/>
        </w:rPr>
      </w:pPr>
      <w:r>
        <w:rPr>
          <w:rFonts w:hint="eastAsia" w:ascii="宋体" w:hAnsi="宋体"/>
          <w:sz w:val="24"/>
        </w:rPr>
        <w:t>1.3</w:t>
      </w:r>
      <w:r>
        <w:rPr>
          <w:rFonts w:ascii="宋体" w:hAnsi="宋体"/>
          <w:sz w:val="24"/>
        </w:rPr>
        <w:t>每一个附件由《特种设备鉴定评审</w:t>
      </w:r>
      <w:r>
        <w:rPr>
          <w:rFonts w:hint="eastAsia" w:ascii="宋体" w:hAnsi="宋体"/>
          <w:sz w:val="24"/>
        </w:rPr>
        <w:t>工作备忘录</w:t>
      </w:r>
      <w:r>
        <w:rPr>
          <w:rFonts w:ascii="宋体" w:hAnsi="宋体"/>
          <w:sz w:val="24"/>
        </w:rPr>
        <w:t>》</w:t>
      </w:r>
      <w:r>
        <w:rPr>
          <w:rFonts w:hint="eastAsia" w:ascii="宋体" w:hAnsi="宋体"/>
          <w:sz w:val="24"/>
        </w:rPr>
        <w:t>中提出的每一个问题所对应的</w:t>
      </w:r>
      <w:r>
        <w:rPr>
          <w:rFonts w:ascii="宋体" w:hAnsi="宋体"/>
          <w:sz w:val="24"/>
        </w:rPr>
        <w:t>整改见证材料组成</w:t>
      </w:r>
      <w:r>
        <w:rPr>
          <w:rFonts w:hint="eastAsia" w:ascii="宋体" w:hAnsi="宋体"/>
          <w:sz w:val="24"/>
        </w:rPr>
        <w:t>。</w:t>
      </w:r>
      <w:r>
        <w:rPr>
          <w:rFonts w:ascii="宋体" w:hAnsi="宋体"/>
          <w:sz w:val="24"/>
        </w:rPr>
        <w:t>附件应按照《特种设备鉴定评审整改报告》正文中</w:t>
      </w:r>
      <w:r>
        <w:rPr>
          <w:rFonts w:hint="eastAsia" w:ascii="宋体" w:hAnsi="宋体"/>
          <w:sz w:val="24"/>
        </w:rPr>
        <w:t>“存在问题与整改情况”</w:t>
      </w:r>
      <w:r>
        <w:rPr>
          <w:rFonts w:ascii="宋体" w:hAnsi="宋体"/>
          <w:sz w:val="24"/>
        </w:rPr>
        <w:t>表中</w:t>
      </w:r>
      <w:r>
        <w:rPr>
          <w:rFonts w:hint="eastAsia" w:ascii="宋体" w:hAnsi="宋体"/>
          <w:sz w:val="24"/>
        </w:rPr>
        <w:t>“存在的问题”</w:t>
      </w:r>
      <w:r>
        <w:rPr>
          <w:rFonts w:ascii="宋体" w:hAnsi="宋体"/>
          <w:sz w:val="24"/>
        </w:rPr>
        <w:t>的顺序逐一编号排序</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1.4</w:t>
      </w:r>
      <w:r>
        <w:rPr>
          <w:rFonts w:ascii="宋体" w:hAnsi="宋体"/>
          <w:sz w:val="24"/>
        </w:rPr>
        <w:t>《特种设备鉴定评审整改报告》封面、目录、正文应采用计算机输入</w:t>
      </w:r>
      <w:r>
        <w:rPr>
          <w:rFonts w:hint="eastAsia" w:ascii="宋体" w:hAnsi="宋体"/>
          <w:sz w:val="24"/>
        </w:rPr>
        <w:t>，</w:t>
      </w:r>
      <w:r>
        <w:rPr>
          <w:rFonts w:ascii="宋体" w:hAnsi="宋体"/>
          <w:sz w:val="24"/>
        </w:rPr>
        <w:t>A4 纸打印。</w:t>
      </w:r>
    </w:p>
    <w:p>
      <w:pPr>
        <w:spacing w:line="360" w:lineRule="auto"/>
        <w:ind w:firstLine="480" w:firstLineChars="200"/>
        <w:rPr>
          <w:rFonts w:ascii="宋体" w:hAnsi="宋体"/>
          <w:sz w:val="24"/>
        </w:rPr>
      </w:pPr>
      <w:r>
        <w:rPr>
          <w:rFonts w:hint="eastAsia" w:ascii="宋体" w:hAnsi="宋体"/>
          <w:sz w:val="24"/>
        </w:rPr>
        <w:t>1.5所有整改见证</w:t>
      </w:r>
      <w:r>
        <w:rPr>
          <w:rFonts w:ascii="宋体" w:hAnsi="宋体"/>
          <w:sz w:val="24"/>
        </w:rPr>
        <w:t>材料应采用 A4 纸打印或复印</w:t>
      </w:r>
      <w:r>
        <w:rPr>
          <w:rFonts w:hint="eastAsia" w:ascii="宋体" w:hAnsi="宋体"/>
          <w:sz w:val="24"/>
        </w:rPr>
        <w:t>，</w:t>
      </w:r>
      <w:r>
        <w:rPr>
          <w:rFonts w:ascii="宋体" w:hAnsi="宋体"/>
          <w:sz w:val="24"/>
        </w:rPr>
        <w:t>整改见证材料的</w:t>
      </w:r>
      <w:r>
        <w:rPr>
          <w:rFonts w:hint="eastAsia" w:ascii="宋体" w:hAnsi="宋体"/>
          <w:sz w:val="24"/>
        </w:rPr>
        <w:t>每一页均须</w:t>
      </w:r>
      <w:r>
        <w:rPr>
          <w:rFonts w:ascii="宋体" w:hAnsi="宋体"/>
          <w:sz w:val="24"/>
        </w:rPr>
        <w:t>加盖申请单位公章。</w:t>
      </w:r>
    </w:p>
    <w:p>
      <w:pPr>
        <w:spacing w:line="480" w:lineRule="auto"/>
        <w:outlineLvl w:val="0"/>
        <w:rPr>
          <w:rFonts w:ascii="宋体" w:hAnsi="宋体" w:cs="黑体"/>
          <w:b/>
          <w:sz w:val="24"/>
        </w:rPr>
      </w:pPr>
      <w:r>
        <w:rPr>
          <w:rFonts w:hint="eastAsia" w:ascii="宋体" w:hAnsi="宋体" w:cs="黑体"/>
          <w:b/>
          <w:sz w:val="24"/>
        </w:rPr>
        <w:t>2  填写</w:t>
      </w:r>
      <w:r>
        <w:rPr>
          <w:rFonts w:ascii="宋体" w:hAnsi="宋体" w:cs="黑体"/>
          <w:b/>
          <w:sz w:val="24"/>
        </w:rPr>
        <w:t>要求</w:t>
      </w:r>
    </w:p>
    <w:p>
      <w:pPr>
        <w:spacing w:line="360" w:lineRule="auto"/>
        <w:ind w:firstLine="482" w:firstLineChars="200"/>
        <w:rPr>
          <w:rFonts w:ascii="宋体" w:hAnsi="宋体"/>
          <w:b/>
          <w:sz w:val="24"/>
        </w:rPr>
      </w:pPr>
      <w:r>
        <w:rPr>
          <w:rFonts w:hint="eastAsia" w:ascii="宋体" w:hAnsi="宋体"/>
          <w:b/>
          <w:sz w:val="24"/>
        </w:rPr>
        <w:t>2.1</w:t>
      </w:r>
      <w:r>
        <w:rPr>
          <w:rFonts w:ascii="宋体" w:hAnsi="宋体"/>
          <w:b/>
          <w:sz w:val="24"/>
        </w:rPr>
        <w:t>《特种设备鉴定评审整改报告》封面</w:t>
      </w:r>
    </w:p>
    <w:p>
      <w:pPr>
        <w:spacing w:line="360" w:lineRule="auto"/>
        <w:ind w:firstLine="480" w:firstLineChars="200"/>
        <w:rPr>
          <w:rFonts w:ascii="宋体" w:hAnsi="宋体"/>
          <w:sz w:val="24"/>
        </w:rPr>
      </w:pPr>
      <w:r>
        <w:rPr>
          <w:rFonts w:hint="eastAsia" w:ascii="宋体" w:hAnsi="宋体"/>
          <w:sz w:val="24"/>
        </w:rPr>
        <w:t>2.1.1</w:t>
      </w:r>
      <w:r>
        <w:rPr>
          <w:rFonts w:ascii="宋体" w:hAnsi="宋体"/>
          <w:sz w:val="24"/>
        </w:rPr>
        <w:t>申请</w:t>
      </w:r>
      <w:r>
        <w:rPr>
          <w:rFonts w:hint="eastAsia" w:ascii="宋体" w:hAnsi="宋体"/>
          <w:sz w:val="24"/>
        </w:rPr>
        <w:t>单位</w:t>
      </w:r>
      <w:r>
        <w:rPr>
          <w:rFonts w:ascii="宋体" w:hAnsi="宋体"/>
          <w:sz w:val="24"/>
        </w:rPr>
        <w:t>：填写</w:t>
      </w:r>
      <w:r>
        <w:rPr>
          <w:rFonts w:hint="eastAsia" w:ascii="宋体" w:hAnsi="宋体"/>
          <w:sz w:val="24"/>
        </w:rPr>
        <w:t>申请单位</w:t>
      </w:r>
      <w:r>
        <w:rPr>
          <w:rFonts w:ascii="宋体" w:hAnsi="宋体"/>
          <w:sz w:val="24"/>
        </w:rPr>
        <w:t>公章上名称。</w:t>
      </w:r>
    </w:p>
    <w:p>
      <w:pPr>
        <w:spacing w:line="360" w:lineRule="auto"/>
        <w:ind w:firstLine="480" w:firstLineChars="200"/>
        <w:rPr>
          <w:rFonts w:ascii="宋体" w:hAnsi="宋体"/>
          <w:sz w:val="24"/>
        </w:rPr>
      </w:pPr>
      <w:r>
        <w:rPr>
          <w:rFonts w:hint="eastAsia" w:ascii="宋体" w:hAnsi="宋体"/>
          <w:sz w:val="24"/>
        </w:rPr>
        <w:t>2.1.2单位</w:t>
      </w:r>
      <w:r>
        <w:rPr>
          <w:rFonts w:ascii="宋体" w:hAnsi="宋体"/>
          <w:sz w:val="24"/>
        </w:rPr>
        <w:t>类别：填写“</w:t>
      </w:r>
      <w:r>
        <w:rPr>
          <w:rFonts w:hint="eastAsia" w:ascii="宋体" w:hAnsi="宋体"/>
          <w:sz w:val="24"/>
        </w:rPr>
        <w:t>生产单位</w:t>
      </w:r>
      <w:r>
        <w:rPr>
          <w:rFonts w:ascii="宋体" w:hAnsi="宋体"/>
          <w:sz w:val="24"/>
        </w:rPr>
        <w:t>”、“</w:t>
      </w:r>
      <w:r>
        <w:rPr>
          <w:rFonts w:hint="eastAsia" w:ascii="宋体" w:hAnsi="宋体"/>
          <w:sz w:val="24"/>
        </w:rPr>
        <w:t>充装单位</w:t>
      </w:r>
      <w:r>
        <w:rPr>
          <w:rFonts w:ascii="宋体" w:hAnsi="宋体"/>
          <w:sz w:val="24"/>
        </w:rPr>
        <w:t>”、“检验机构”、“</w:t>
      </w:r>
      <w:r>
        <w:rPr>
          <w:rFonts w:hint="eastAsia" w:ascii="宋体" w:hAnsi="宋体"/>
          <w:sz w:val="24"/>
        </w:rPr>
        <w:t>检测机构</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2.1.3申请项目：</w:t>
      </w:r>
    </w:p>
    <w:p>
      <w:pPr>
        <w:spacing w:line="360" w:lineRule="auto"/>
        <w:ind w:firstLine="480" w:firstLineChars="200"/>
        <w:rPr>
          <w:rFonts w:ascii="宋体" w:hAnsi="宋体"/>
          <w:sz w:val="24"/>
        </w:rPr>
      </w:pPr>
      <w:r>
        <w:rPr>
          <w:rFonts w:hint="eastAsia" w:ascii="宋体" w:hAnsi="宋体"/>
          <w:sz w:val="24"/>
        </w:rPr>
        <w:t>1）生产</w:t>
      </w:r>
      <w:r>
        <w:rPr>
          <w:rFonts w:ascii="宋体" w:hAnsi="宋体"/>
          <w:sz w:val="24"/>
        </w:rPr>
        <w:t>单位填写“</w:t>
      </w:r>
      <w:r>
        <w:rPr>
          <w:rFonts w:hint="eastAsia" w:ascii="宋体" w:hAnsi="宋体"/>
          <w:sz w:val="24"/>
        </w:rPr>
        <w:t>锅炉制造</w:t>
      </w:r>
      <w:r>
        <w:rPr>
          <w:rFonts w:ascii="宋体" w:hAnsi="宋体"/>
          <w:sz w:val="24"/>
        </w:rPr>
        <w:t>”、</w:t>
      </w:r>
      <w:r>
        <w:rPr>
          <w:rFonts w:hint="eastAsia" w:ascii="宋体" w:hAnsi="宋体"/>
          <w:sz w:val="24"/>
        </w:rPr>
        <w:t>“锅炉安装”</w:t>
      </w:r>
      <w:r>
        <w:rPr>
          <w:rFonts w:ascii="宋体" w:hAnsi="宋体"/>
          <w:sz w:val="24"/>
        </w:rPr>
        <w:t>、</w:t>
      </w:r>
      <w:r>
        <w:rPr>
          <w:rFonts w:hint="eastAsia" w:ascii="宋体" w:hAnsi="宋体"/>
          <w:sz w:val="24"/>
        </w:rPr>
        <w:t>“压力容器设计”</w:t>
      </w:r>
      <w:r>
        <w:rPr>
          <w:rFonts w:ascii="宋体" w:hAnsi="宋体"/>
          <w:sz w:val="24"/>
        </w:rPr>
        <w:t>、</w:t>
      </w:r>
      <w:r>
        <w:rPr>
          <w:rFonts w:hint="eastAsia" w:ascii="宋体" w:hAnsi="宋体"/>
          <w:sz w:val="24"/>
        </w:rPr>
        <w:t>“压力容器制造”</w:t>
      </w:r>
      <w:r>
        <w:rPr>
          <w:rFonts w:ascii="宋体" w:hAnsi="宋体"/>
          <w:sz w:val="24"/>
        </w:rPr>
        <w:t>、</w:t>
      </w:r>
      <w:r>
        <w:rPr>
          <w:rFonts w:hint="eastAsia" w:ascii="宋体" w:hAnsi="宋体"/>
          <w:sz w:val="24"/>
        </w:rPr>
        <w:t>“气瓶制造”</w:t>
      </w:r>
      <w:r>
        <w:rPr>
          <w:rFonts w:ascii="宋体" w:hAnsi="宋体"/>
          <w:sz w:val="24"/>
        </w:rPr>
        <w:t>、</w:t>
      </w:r>
      <w:r>
        <w:rPr>
          <w:rFonts w:hint="eastAsia" w:ascii="宋体" w:hAnsi="宋体"/>
          <w:sz w:val="24"/>
        </w:rPr>
        <w:t>“压力管道设计”</w:t>
      </w:r>
      <w:r>
        <w:rPr>
          <w:rFonts w:ascii="宋体" w:hAnsi="宋体"/>
          <w:sz w:val="24"/>
        </w:rPr>
        <w:t>、</w:t>
      </w:r>
      <w:r>
        <w:rPr>
          <w:rFonts w:hint="eastAsia" w:ascii="宋体" w:hAnsi="宋体"/>
          <w:sz w:val="24"/>
        </w:rPr>
        <w:t>“压力管道元件制造”</w:t>
      </w:r>
      <w:r>
        <w:rPr>
          <w:rFonts w:ascii="宋体" w:hAnsi="宋体"/>
          <w:sz w:val="24"/>
        </w:rPr>
        <w:t>、</w:t>
      </w:r>
      <w:r>
        <w:rPr>
          <w:rFonts w:hint="eastAsia" w:ascii="宋体" w:hAnsi="宋体"/>
          <w:sz w:val="24"/>
        </w:rPr>
        <w:t>“压力管道安装”</w:t>
      </w:r>
      <w:r>
        <w:rPr>
          <w:rFonts w:ascii="宋体" w:hAnsi="宋体"/>
          <w:sz w:val="24"/>
        </w:rPr>
        <w:t>、</w:t>
      </w:r>
      <w:r>
        <w:rPr>
          <w:rFonts w:hint="eastAsia" w:ascii="宋体" w:hAnsi="宋体"/>
          <w:sz w:val="24"/>
        </w:rPr>
        <w:t>“</w:t>
      </w:r>
      <w:r>
        <w:rPr>
          <w:rFonts w:ascii="宋体" w:hAnsi="宋体"/>
          <w:sz w:val="24"/>
        </w:rPr>
        <w:t>安全阀制造</w:t>
      </w:r>
      <w:r>
        <w:rPr>
          <w:rFonts w:hint="eastAsia" w:ascii="宋体" w:hAnsi="宋体"/>
          <w:sz w:val="24"/>
        </w:rPr>
        <w:t>”</w:t>
      </w:r>
      <w:r>
        <w:rPr>
          <w:rFonts w:ascii="宋体" w:hAnsi="宋体"/>
          <w:sz w:val="24"/>
        </w:rPr>
        <w:t>、</w:t>
      </w:r>
      <w:r>
        <w:rPr>
          <w:rFonts w:hint="eastAsia" w:ascii="宋体" w:hAnsi="宋体"/>
          <w:sz w:val="24"/>
        </w:rPr>
        <w:t>“</w:t>
      </w:r>
      <w:r>
        <w:rPr>
          <w:rFonts w:ascii="宋体" w:hAnsi="宋体"/>
          <w:sz w:val="24"/>
        </w:rPr>
        <w:t>紧急切断阀制造</w:t>
      </w:r>
      <w:r>
        <w:rPr>
          <w:rFonts w:hint="eastAsia" w:ascii="宋体" w:hAnsi="宋体"/>
          <w:sz w:val="24"/>
        </w:rPr>
        <w:t>”</w:t>
      </w:r>
      <w:r>
        <w:rPr>
          <w:rFonts w:ascii="宋体" w:hAnsi="宋体"/>
          <w:sz w:val="24"/>
        </w:rPr>
        <w:t>、</w:t>
      </w:r>
      <w:r>
        <w:rPr>
          <w:rFonts w:hint="eastAsia" w:ascii="宋体" w:hAnsi="宋体"/>
          <w:sz w:val="24"/>
        </w:rPr>
        <w:t>“气瓶</w:t>
      </w:r>
      <w:r>
        <w:rPr>
          <w:rFonts w:ascii="宋体" w:hAnsi="宋体"/>
          <w:sz w:val="24"/>
        </w:rPr>
        <w:t>阀门制造</w:t>
      </w:r>
      <w:r>
        <w:rPr>
          <w:rFonts w:hint="eastAsia" w:ascii="宋体" w:hAnsi="宋体"/>
          <w:sz w:val="24"/>
        </w:rPr>
        <w:t>”</w:t>
      </w:r>
      <w:r>
        <w:rPr>
          <w:rFonts w:ascii="宋体" w:hAnsi="宋体"/>
          <w:sz w:val="24"/>
        </w:rPr>
        <w:t>、</w:t>
      </w:r>
      <w:r>
        <w:rPr>
          <w:rFonts w:hint="eastAsia" w:ascii="宋体" w:hAnsi="宋体"/>
          <w:sz w:val="24"/>
        </w:rPr>
        <w:t>“电梯制造”</w:t>
      </w:r>
      <w:r>
        <w:rPr>
          <w:rFonts w:ascii="宋体" w:hAnsi="宋体"/>
          <w:sz w:val="24"/>
        </w:rPr>
        <w:t>、</w:t>
      </w:r>
      <w:r>
        <w:rPr>
          <w:rFonts w:hint="eastAsia" w:ascii="宋体" w:hAnsi="宋体"/>
          <w:sz w:val="24"/>
        </w:rPr>
        <w:t>“电梯安装”</w:t>
      </w:r>
      <w:r>
        <w:rPr>
          <w:rFonts w:ascii="宋体" w:hAnsi="宋体"/>
          <w:sz w:val="24"/>
        </w:rPr>
        <w:t>、</w:t>
      </w:r>
      <w:r>
        <w:rPr>
          <w:rFonts w:hint="eastAsia" w:ascii="宋体" w:hAnsi="宋体"/>
          <w:sz w:val="24"/>
        </w:rPr>
        <w:t>“起重机械制造”</w:t>
      </w:r>
      <w:r>
        <w:rPr>
          <w:rFonts w:ascii="宋体" w:hAnsi="宋体"/>
          <w:sz w:val="24"/>
        </w:rPr>
        <w:t>、</w:t>
      </w:r>
      <w:r>
        <w:rPr>
          <w:rFonts w:hint="eastAsia" w:ascii="宋体" w:hAnsi="宋体"/>
          <w:sz w:val="24"/>
        </w:rPr>
        <w:t>“起重机械安装”</w:t>
      </w:r>
      <w:r>
        <w:rPr>
          <w:rFonts w:ascii="宋体" w:hAnsi="宋体"/>
          <w:sz w:val="24"/>
        </w:rPr>
        <w:t>、</w:t>
      </w:r>
      <w:r>
        <w:rPr>
          <w:rFonts w:hint="eastAsia" w:ascii="宋体" w:hAnsi="宋体"/>
          <w:sz w:val="24"/>
        </w:rPr>
        <w:t>“大型游乐设施制造”</w:t>
      </w:r>
      <w:r>
        <w:rPr>
          <w:rFonts w:ascii="宋体" w:hAnsi="宋体"/>
          <w:sz w:val="24"/>
        </w:rPr>
        <w:t>、</w:t>
      </w:r>
      <w:r>
        <w:rPr>
          <w:rFonts w:hint="eastAsia" w:ascii="宋体" w:hAnsi="宋体"/>
          <w:sz w:val="24"/>
        </w:rPr>
        <w:t>“大型游乐设施安装”</w:t>
      </w:r>
      <w:r>
        <w:rPr>
          <w:rFonts w:ascii="宋体" w:hAnsi="宋体"/>
          <w:sz w:val="24"/>
        </w:rPr>
        <w:t>、</w:t>
      </w:r>
      <w:r>
        <w:rPr>
          <w:rFonts w:hint="eastAsia" w:ascii="宋体" w:hAnsi="宋体"/>
          <w:sz w:val="24"/>
        </w:rPr>
        <w:t>“场（厂）内专用机动车辆制造”</w:t>
      </w:r>
      <w:r>
        <w:rPr>
          <w:rFonts w:ascii="宋体" w:hAnsi="宋体"/>
          <w:sz w:val="24"/>
        </w:rPr>
        <w:t>、</w:t>
      </w:r>
      <w:r>
        <w:rPr>
          <w:rFonts w:hint="eastAsia" w:ascii="宋体" w:hAnsi="宋体"/>
          <w:sz w:val="24"/>
        </w:rPr>
        <w:t xml:space="preserve">“场（厂）内专用机动车辆修理”； </w:t>
      </w:r>
    </w:p>
    <w:p>
      <w:pPr>
        <w:spacing w:line="360" w:lineRule="auto"/>
        <w:ind w:firstLine="480" w:firstLineChars="200"/>
        <w:rPr>
          <w:rFonts w:ascii="宋体" w:hAnsi="宋体"/>
          <w:sz w:val="24"/>
        </w:rPr>
      </w:pPr>
      <w:r>
        <w:rPr>
          <w:rFonts w:hint="eastAsia" w:ascii="宋体" w:hAnsi="宋体"/>
          <w:sz w:val="24"/>
        </w:rPr>
        <w:t>2）充装单位填写“气瓶充装”</w:t>
      </w:r>
      <w:r>
        <w:rPr>
          <w:rFonts w:ascii="宋体" w:hAnsi="宋体"/>
          <w:sz w:val="24"/>
        </w:rPr>
        <w:t xml:space="preserve"> 、</w:t>
      </w:r>
      <w:r>
        <w:rPr>
          <w:rFonts w:hint="eastAsia" w:ascii="宋体" w:hAnsi="宋体"/>
          <w:sz w:val="24"/>
        </w:rPr>
        <w:t>“移动式压力容器充装”；</w:t>
      </w:r>
    </w:p>
    <w:p>
      <w:pPr>
        <w:spacing w:line="360" w:lineRule="auto"/>
        <w:ind w:firstLine="480" w:firstLineChars="200"/>
        <w:rPr>
          <w:rFonts w:ascii="宋体" w:hAnsi="宋体"/>
          <w:sz w:val="24"/>
        </w:rPr>
      </w:pPr>
      <w:r>
        <w:rPr>
          <w:rFonts w:hint="eastAsia" w:ascii="宋体" w:hAnsi="宋体"/>
          <w:sz w:val="24"/>
        </w:rPr>
        <w:t>3）检验机构填写“甲类A2”</w:t>
      </w:r>
      <w:r>
        <w:rPr>
          <w:rFonts w:ascii="宋体" w:hAnsi="宋体"/>
          <w:sz w:val="24"/>
        </w:rPr>
        <w:t>、</w:t>
      </w:r>
      <w:r>
        <w:rPr>
          <w:rFonts w:hint="eastAsia" w:ascii="宋体" w:hAnsi="宋体"/>
          <w:sz w:val="24"/>
        </w:rPr>
        <w:t>“甲类B1”、“甲类B2”、“乙类”、“丙类”；</w:t>
      </w:r>
    </w:p>
    <w:p>
      <w:pPr>
        <w:spacing w:line="360" w:lineRule="auto"/>
        <w:ind w:firstLine="480" w:firstLineChars="200"/>
        <w:rPr>
          <w:rFonts w:ascii="宋体" w:hAnsi="宋体"/>
          <w:sz w:val="24"/>
        </w:rPr>
      </w:pPr>
      <w:r>
        <w:rPr>
          <w:rFonts w:hint="eastAsia" w:ascii="宋体" w:hAnsi="宋体"/>
          <w:sz w:val="24"/>
        </w:rPr>
        <w:t>4）检测机构填写“无损检测”、“电梯检测”、“安全阀校验”。</w:t>
      </w:r>
    </w:p>
    <w:p>
      <w:pPr>
        <w:spacing w:line="360" w:lineRule="auto"/>
        <w:ind w:firstLine="480" w:firstLineChars="200"/>
        <w:rPr>
          <w:rFonts w:ascii="宋体" w:hAnsi="宋体"/>
          <w:sz w:val="24"/>
        </w:rPr>
      </w:pPr>
      <w:r>
        <w:rPr>
          <w:rFonts w:hint="eastAsia" w:ascii="宋体" w:hAnsi="宋体"/>
          <w:sz w:val="24"/>
        </w:rPr>
        <w:t>2.1.4</w:t>
      </w:r>
      <w:r>
        <w:rPr>
          <w:rFonts w:ascii="宋体" w:hAnsi="宋体"/>
          <w:sz w:val="24"/>
        </w:rPr>
        <w:t>申请类别：填写“首次</w:t>
      </w:r>
      <w:r>
        <w:rPr>
          <w:rFonts w:hint="eastAsia" w:ascii="宋体" w:hAnsi="宋体"/>
          <w:sz w:val="24"/>
        </w:rPr>
        <w:t>取证</w:t>
      </w:r>
      <w:r>
        <w:rPr>
          <w:rFonts w:ascii="宋体" w:hAnsi="宋体"/>
          <w:sz w:val="24"/>
        </w:rPr>
        <w:t>”、“增项”</w:t>
      </w:r>
      <w:r>
        <w:rPr>
          <w:rFonts w:hint="eastAsia" w:ascii="宋体" w:hAnsi="宋体"/>
          <w:sz w:val="24"/>
        </w:rPr>
        <w:t>、</w:t>
      </w:r>
      <w:r>
        <w:rPr>
          <w:rFonts w:ascii="宋体" w:hAnsi="宋体"/>
          <w:sz w:val="24"/>
        </w:rPr>
        <w:t>“</w:t>
      </w:r>
      <w:r>
        <w:rPr>
          <w:rFonts w:hint="eastAsia" w:ascii="宋体" w:hAnsi="宋体"/>
          <w:sz w:val="24"/>
        </w:rPr>
        <w:t>变更</w:t>
      </w:r>
      <w:r>
        <w:rPr>
          <w:rFonts w:ascii="宋体" w:hAnsi="宋体"/>
          <w:sz w:val="24"/>
        </w:rPr>
        <w:t>”</w:t>
      </w:r>
      <w:r>
        <w:rPr>
          <w:rFonts w:hint="eastAsia" w:ascii="宋体" w:hAnsi="宋体"/>
          <w:sz w:val="24"/>
        </w:rPr>
        <w:t>、“</w:t>
      </w:r>
      <w:r>
        <w:rPr>
          <w:rFonts w:ascii="宋体" w:hAnsi="宋体"/>
          <w:sz w:val="24"/>
        </w:rPr>
        <w:t>延续</w:t>
      </w:r>
      <w:r>
        <w:rPr>
          <w:rFonts w:hint="eastAsia" w:ascii="宋体" w:hAnsi="宋体"/>
          <w:sz w:val="24"/>
        </w:rPr>
        <w:t>（对生产和充装单位也可以填“换证”）”</w:t>
      </w:r>
      <w:r>
        <w:rPr>
          <w:rFonts w:ascii="宋体" w:hAnsi="宋体"/>
          <w:sz w:val="24"/>
        </w:rPr>
        <w:t>。</w:t>
      </w:r>
    </w:p>
    <w:p>
      <w:pPr>
        <w:spacing w:line="360" w:lineRule="auto"/>
        <w:ind w:firstLine="482" w:firstLineChars="200"/>
        <w:rPr>
          <w:rFonts w:ascii="宋体" w:hAnsi="宋体"/>
          <w:b/>
          <w:sz w:val="24"/>
        </w:rPr>
      </w:pPr>
      <w:r>
        <w:rPr>
          <w:rFonts w:hint="eastAsia" w:ascii="宋体" w:hAnsi="宋体"/>
          <w:b/>
          <w:sz w:val="24"/>
        </w:rPr>
        <w:t>2.2</w:t>
      </w:r>
      <w:r>
        <w:rPr>
          <w:rFonts w:ascii="宋体" w:hAnsi="宋体"/>
          <w:b/>
          <w:sz w:val="24"/>
        </w:rPr>
        <w:t>《特种设备鉴定评审整改报告》目录</w:t>
      </w:r>
    </w:p>
    <w:p>
      <w:pPr>
        <w:spacing w:line="360" w:lineRule="auto"/>
        <w:ind w:firstLine="480" w:firstLineChars="200"/>
        <w:rPr>
          <w:rFonts w:ascii="宋体" w:hAnsi="宋体"/>
          <w:sz w:val="24"/>
        </w:rPr>
      </w:pPr>
      <w:r>
        <w:rPr>
          <w:rFonts w:ascii="宋体" w:hAnsi="宋体"/>
          <w:sz w:val="24"/>
        </w:rPr>
        <w:t>“目录”按</w:t>
      </w:r>
      <w:r>
        <w:rPr>
          <w:rFonts w:hint="eastAsia" w:ascii="宋体" w:hAnsi="宋体"/>
          <w:sz w:val="24"/>
        </w:rPr>
        <w:t>协会</w:t>
      </w:r>
      <w:r>
        <w:rPr>
          <w:rFonts w:ascii="宋体" w:hAnsi="宋体"/>
          <w:sz w:val="24"/>
        </w:rPr>
        <w:t>提供的格式如实填写，并注明每个附件的页</w:t>
      </w:r>
      <w:r>
        <w:rPr>
          <w:rFonts w:hint="eastAsia" w:ascii="宋体" w:hAnsi="宋体"/>
          <w:sz w:val="24"/>
        </w:rPr>
        <w:t>码</w:t>
      </w:r>
      <w:r>
        <w:rPr>
          <w:rFonts w:ascii="宋体" w:hAnsi="宋体"/>
          <w:sz w:val="24"/>
        </w:rPr>
        <w:t xml:space="preserve">。“目录”中所列出的“行”不足时自行添加行，所列出的“行”过多时，自行删除，不允许出现空行。 </w:t>
      </w:r>
    </w:p>
    <w:p>
      <w:pPr>
        <w:spacing w:line="360" w:lineRule="auto"/>
        <w:ind w:firstLine="482" w:firstLineChars="200"/>
        <w:rPr>
          <w:rFonts w:ascii="宋体" w:hAnsi="宋体"/>
          <w:b/>
          <w:sz w:val="24"/>
        </w:rPr>
      </w:pPr>
      <w:r>
        <w:rPr>
          <w:rFonts w:hint="eastAsia" w:ascii="宋体" w:hAnsi="宋体"/>
          <w:b/>
          <w:sz w:val="24"/>
        </w:rPr>
        <w:t>2.3</w:t>
      </w:r>
      <w:r>
        <w:rPr>
          <w:rFonts w:ascii="宋体" w:hAnsi="宋体"/>
          <w:b/>
          <w:sz w:val="24"/>
        </w:rPr>
        <w:t xml:space="preserve"> 《特种设备鉴定评审整改报告》正文</w:t>
      </w:r>
    </w:p>
    <w:p>
      <w:pPr>
        <w:spacing w:line="360" w:lineRule="auto"/>
        <w:ind w:firstLine="480" w:firstLineChars="200"/>
        <w:rPr>
          <w:rFonts w:ascii="宋体" w:hAnsi="宋体"/>
          <w:sz w:val="24"/>
        </w:rPr>
      </w:pPr>
      <w:r>
        <w:rPr>
          <w:rFonts w:hint="eastAsia" w:ascii="宋体" w:hAnsi="宋体"/>
          <w:sz w:val="24"/>
        </w:rPr>
        <w:t>2.3.1</w:t>
      </w:r>
      <w:r>
        <w:rPr>
          <w:rFonts w:ascii="宋体" w:hAnsi="宋体"/>
          <w:sz w:val="24"/>
        </w:rPr>
        <w:t>正文的前半部分，按</w:t>
      </w:r>
      <w:r>
        <w:rPr>
          <w:rFonts w:hint="eastAsia" w:ascii="宋体" w:hAnsi="宋体"/>
          <w:sz w:val="24"/>
        </w:rPr>
        <w:t>协会</w:t>
      </w:r>
      <w:r>
        <w:rPr>
          <w:rFonts w:ascii="宋体" w:hAnsi="宋体"/>
          <w:sz w:val="24"/>
        </w:rPr>
        <w:t>提供的格式，</w:t>
      </w:r>
      <w:r>
        <w:rPr>
          <w:rFonts w:hint="eastAsia" w:ascii="宋体" w:hAnsi="宋体"/>
          <w:sz w:val="24"/>
        </w:rPr>
        <w:t>对“XXXX”如实</w:t>
      </w:r>
      <w:r>
        <w:rPr>
          <w:rFonts w:ascii="宋体" w:hAnsi="宋体"/>
          <w:sz w:val="24"/>
        </w:rPr>
        <w:t>进行替换即可。</w:t>
      </w:r>
    </w:p>
    <w:p>
      <w:pPr>
        <w:spacing w:line="360" w:lineRule="auto"/>
        <w:ind w:firstLine="480" w:firstLineChars="200"/>
        <w:rPr>
          <w:rFonts w:ascii="宋体" w:hAnsi="宋体"/>
          <w:sz w:val="24"/>
        </w:rPr>
      </w:pPr>
      <w:r>
        <w:rPr>
          <w:rFonts w:hint="eastAsia" w:ascii="宋体" w:hAnsi="宋体"/>
          <w:sz w:val="24"/>
        </w:rPr>
        <w:t xml:space="preserve">2.3.2正文“存在问题与整改情况”表 </w:t>
      </w:r>
    </w:p>
    <w:p>
      <w:pPr>
        <w:spacing w:line="360" w:lineRule="auto"/>
        <w:ind w:firstLine="480" w:firstLineChars="200"/>
        <w:rPr>
          <w:rFonts w:ascii="宋体" w:hAnsi="宋体"/>
          <w:sz w:val="24"/>
        </w:rPr>
      </w:pPr>
      <w:r>
        <w:rPr>
          <w:rFonts w:hint="eastAsia" w:ascii="宋体" w:hAnsi="宋体"/>
          <w:sz w:val="24"/>
        </w:rPr>
        <w:t>1）“问题类别”栏：按照</w:t>
      </w:r>
      <w:r>
        <w:rPr>
          <w:rFonts w:ascii="宋体" w:hAnsi="宋体"/>
          <w:sz w:val="24"/>
        </w:rPr>
        <w:t>《特种设备鉴定评审</w:t>
      </w:r>
      <w:r>
        <w:rPr>
          <w:rFonts w:hint="eastAsia" w:ascii="宋体" w:hAnsi="宋体"/>
          <w:sz w:val="24"/>
        </w:rPr>
        <w:t>工作备忘录</w:t>
      </w:r>
      <w:r>
        <w:rPr>
          <w:rFonts w:ascii="宋体" w:hAnsi="宋体"/>
          <w:sz w:val="24"/>
        </w:rPr>
        <w:t>》</w:t>
      </w:r>
      <w:r>
        <w:rPr>
          <w:rFonts w:hint="eastAsia" w:ascii="宋体" w:hAnsi="宋体"/>
          <w:sz w:val="24"/>
        </w:rPr>
        <w:t>中提出的问题大类填写。</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“存在的</w:t>
      </w:r>
      <w:r>
        <w:rPr>
          <w:rFonts w:hint="eastAsia" w:ascii="宋体" w:hAnsi="宋体"/>
          <w:sz w:val="24"/>
        </w:rPr>
        <w:t>问题</w:t>
      </w:r>
      <w:r>
        <w:rPr>
          <w:rFonts w:ascii="宋体" w:hAnsi="宋体"/>
          <w:sz w:val="24"/>
        </w:rPr>
        <w:t>”栏：填写《特种设备鉴定评审</w:t>
      </w:r>
      <w:r>
        <w:rPr>
          <w:rFonts w:hint="eastAsia" w:ascii="宋体" w:hAnsi="宋体"/>
          <w:sz w:val="24"/>
        </w:rPr>
        <w:t>工作备忘录</w:t>
      </w:r>
      <w:r>
        <w:rPr>
          <w:rFonts w:ascii="宋体" w:hAnsi="宋体"/>
          <w:sz w:val="24"/>
        </w:rPr>
        <w:t>》中</w:t>
      </w:r>
      <w:r>
        <w:rPr>
          <w:rFonts w:hint="eastAsia" w:ascii="宋体" w:hAnsi="宋体"/>
          <w:sz w:val="24"/>
        </w:rPr>
        <w:t>每个问题大类所包含的具体问题</w:t>
      </w:r>
      <w:r>
        <w:rPr>
          <w:rFonts w:ascii="宋体" w:hAnsi="宋体"/>
          <w:sz w:val="24"/>
        </w:rPr>
        <w:t>的内容，不允许修改，并按其顺序逐一填写。</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整改情况（详细描述）</w:t>
      </w:r>
      <w:r>
        <w:rPr>
          <w:rFonts w:hint="eastAsia" w:ascii="宋体" w:hAnsi="宋体"/>
          <w:sz w:val="24"/>
        </w:rPr>
        <w:t>”</w:t>
      </w:r>
      <w:r>
        <w:rPr>
          <w:rFonts w:ascii="宋体" w:hAnsi="宋体"/>
          <w:sz w:val="24"/>
        </w:rPr>
        <w:t>栏：填写</w:t>
      </w:r>
      <w:r>
        <w:rPr>
          <w:rFonts w:hint="eastAsia" w:ascii="宋体" w:hAnsi="宋体"/>
          <w:sz w:val="24"/>
        </w:rPr>
        <w:t>问题</w:t>
      </w:r>
      <w:r>
        <w:rPr>
          <w:rFonts w:ascii="宋体" w:hAnsi="宋体"/>
          <w:sz w:val="24"/>
        </w:rPr>
        <w:t>的整改情况，描述应简要准确。</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 xml:space="preserve">“见证材料（注明页数）”栏：填写见证材料所在的附件序号（含附件的页数），如“附件 </w:t>
      </w:r>
      <w:r>
        <w:rPr>
          <w:rFonts w:hint="eastAsia" w:ascii="宋体" w:hAnsi="宋体"/>
          <w:sz w:val="24"/>
        </w:rPr>
        <w:t>1</w:t>
      </w:r>
      <w:r>
        <w:rPr>
          <w:rFonts w:ascii="宋体" w:hAnsi="宋体"/>
          <w:sz w:val="24"/>
        </w:rPr>
        <w:t xml:space="preserve"> （共 10 页）”。</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表中所列出的“行”不足时自行添加行，所列出的“行”过多时，自行删除，不允许出现空行。</w:t>
      </w:r>
    </w:p>
    <w:p>
      <w:pPr>
        <w:spacing w:line="360" w:lineRule="auto"/>
        <w:ind w:firstLine="480" w:firstLineChars="200"/>
        <w:rPr>
          <w:rFonts w:ascii="宋体" w:hAnsi="宋体"/>
          <w:sz w:val="24"/>
        </w:rPr>
      </w:pPr>
      <w:r>
        <w:rPr>
          <w:rFonts w:hint="eastAsia" w:ascii="宋体" w:hAnsi="宋体"/>
          <w:sz w:val="24"/>
        </w:rPr>
        <w:t>2.3.3正文</w:t>
      </w:r>
      <w:r>
        <w:rPr>
          <w:rFonts w:ascii="宋体" w:hAnsi="宋体"/>
          <w:sz w:val="24"/>
        </w:rPr>
        <w:t>“其他说明”</w:t>
      </w:r>
    </w:p>
    <w:p>
      <w:pPr>
        <w:spacing w:line="360" w:lineRule="auto"/>
        <w:ind w:firstLine="480" w:firstLineChars="200"/>
        <w:rPr>
          <w:rFonts w:ascii="宋体" w:hAnsi="宋体"/>
          <w:sz w:val="24"/>
        </w:rPr>
      </w:pPr>
      <w:r>
        <w:rPr>
          <w:rFonts w:ascii="宋体" w:hAnsi="宋体"/>
          <w:sz w:val="24"/>
        </w:rPr>
        <w:t>如果有其他情况需要说明，请在此说明。如果没有其他情况需要说明，删除</w:t>
      </w:r>
      <w:r>
        <w:rPr>
          <w:rFonts w:hint="eastAsia" w:ascii="宋体" w:hAnsi="宋体"/>
          <w:sz w:val="24"/>
        </w:rPr>
        <w:t>“1、2、……”</w:t>
      </w:r>
      <w:r>
        <w:rPr>
          <w:rFonts w:ascii="宋体" w:hAnsi="宋体"/>
          <w:sz w:val="24"/>
        </w:rPr>
        <w:t>。</w:t>
      </w:r>
    </w:p>
    <w:p>
      <w:pPr>
        <w:spacing w:line="360" w:lineRule="auto"/>
        <w:ind w:firstLine="480" w:firstLineChars="200"/>
        <w:rPr>
          <w:rFonts w:ascii="宋体" w:hAnsi="宋体"/>
          <w:sz w:val="24"/>
        </w:rPr>
      </w:pPr>
      <w:r>
        <w:rPr>
          <w:rFonts w:hint="eastAsia" w:ascii="宋体" w:hAnsi="宋体"/>
          <w:sz w:val="24"/>
        </w:rPr>
        <w:t>2.3.4正文落款</w:t>
      </w:r>
    </w:p>
    <w:p>
      <w:pPr>
        <w:spacing w:line="360" w:lineRule="auto"/>
        <w:ind w:firstLine="480" w:firstLineChars="200"/>
        <w:rPr>
          <w:rFonts w:ascii="宋体" w:hAnsi="宋体"/>
          <w:sz w:val="24"/>
        </w:rPr>
      </w:pPr>
      <w:r>
        <w:rPr>
          <w:rFonts w:hint="eastAsia" w:ascii="宋体" w:hAnsi="宋体"/>
          <w:sz w:val="24"/>
        </w:rPr>
        <w:t>将“XXXXX”改为申请单位的名称，名称应与申请单位</w:t>
      </w:r>
      <w:r>
        <w:rPr>
          <w:rFonts w:ascii="宋体" w:hAnsi="宋体"/>
          <w:sz w:val="24"/>
        </w:rPr>
        <w:t>公章上名称一致</w:t>
      </w:r>
      <w:r>
        <w:rPr>
          <w:rFonts w:hint="eastAsia" w:ascii="宋体" w:hAnsi="宋体"/>
          <w:sz w:val="24"/>
        </w:rPr>
        <w:t>，并加盖申请单位公章。</w:t>
      </w:r>
    </w:p>
    <w:p>
      <w:pPr>
        <w:spacing w:line="360" w:lineRule="auto"/>
        <w:ind w:firstLine="482" w:firstLineChars="200"/>
        <w:rPr>
          <w:rFonts w:ascii="宋体" w:hAnsi="宋体"/>
          <w:b/>
          <w:sz w:val="24"/>
        </w:rPr>
      </w:pPr>
      <w:r>
        <w:rPr>
          <w:rFonts w:hint="eastAsia" w:ascii="宋体" w:hAnsi="宋体"/>
          <w:b/>
          <w:sz w:val="24"/>
        </w:rPr>
        <w:t>2.5</w:t>
      </w:r>
      <w:r>
        <w:rPr>
          <w:rFonts w:ascii="宋体" w:hAnsi="宋体"/>
          <w:b/>
          <w:sz w:val="24"/>
        </w:rPr>
        <w:t>整改</w:t>
      </w:r>
      <w:r>
        <w:rPr>
          <w:rFonts w:hint="eastAsia" w:ascii="宋体" w:hAnsi="宋体"/>
          <w:b/>
          <w:sz w:val="24"/>
        </w:rPr>
        <w:t>情况</w:t>
      </w:r>
      <w:r>
        <w:rPr>
          <w:rFonts w:ascii="宋体" w:hAnsi="宋体"/>
          <w:b/>
          <w:sz w:val="24"/>
        </w:rPr>
        <w:t>见证材料</w:t>
      </w:r>
    </w:p>
    <w:p>
      <w:pPr>
        <w:spacing w:line="360" w:lineRule="auto"/>
        <w:ind w:firstLine="480" w:firstLineChars="200"/>
        <w:rPr>
          <w:rFonts w:ascii="宋体" w:hAnsi="宋体"/>
          <w:sz w:val="24"/>
        </w:rPr>
      </w:pPr>
      <w:r>
        <w:rPr>
          <w:rFonts w:ascii="宋体" w:hAnsi="宋体"/>
          <w:sz w:val="24"/>
        </w:rPr>
        <w:t>申请</w:t>
      </w:r>
      <w:r>
        <w:rPr>
          <w:rFonts w:hint="eastAsia" w:ascii="宋体" w:hAnsi="宋体"/>
          <w:sz w:val="24"/>
        </w:rPr>
        <w:t>单位</w:t>
      </w:r>
      <w:r>
        <w:rPr>
          <w:rFonts w:ascii="宋体" w:hAnsi="宋体"/>
          <w:sz w:val="24"/>
        </w:rPr>
        <w:t>应对存在的问题进行原因分析</w:t>
      </w:r>
      <w:r>
        <w:rPr>
          <w:rFonts w:hint="eastAsia" w:ascii="宋体" w:hAnsi="宋体"/>
          <w:sz w:val="24"/>
        </w:rPr>
        <w:t>并</w:t>
      </w:r>
      <w:r>
        <w:rPr>
          <w:rFonts w:ascii="宋体" w:hAnsi="宋体"/>
          <w:sz w:val="24"/>
        </w:rPr>
        <w:t>进行纠正</w:t>
      </w:r>
      <w:r>
        <w:rPr>
          <w:rFonts w:hint="eastAsia" w:ascii="宋体" w:hAnsi="宋体"/>
          <w:sz w:val="24"/>
        </w:rPr>
        <w:t>，</w:t>
      </w:r>
      <w:r>
        <w:rPr>
          <w:rFonts w:ascii="宋体" w:hAnsi="宋体"/>
          <w:sz w:val="24"/>
        </w:rPr>
        <w:t>必要时制定相应的纠正措施</w:t>
      </w:r>
      <w:r>
        <w:rPr>
          <w:rFonts w:hint="eastAsia" w:ascii="宋体" w:hAnsi="宋体"/>
          <w:sz w:val="24"/>
        </w:rPr>
        <w:t>，并</w:t>
      </w:r>
      <w:r>
        <w:rPr>
          <w:rFonts w:ascii="宋体" w:hAnsi="宋体"/>
          <w:sz w:val="24"/>
        </w:rPr>
        <w:t>对纠正完成情况进行确认</w:t>
      </w:r>
      <w:r>
        <w:rPr>
          <w:rFonts w:hint="eastAsia" w:ascii="宋体" w:hAnsi="宋体"/>
          <w:sz w:val="24"/>
        </w:rPr>
        <w:t>，</w:t>
      </w:r>
      <w:r>
        <w:rPr>
          <w:rFonts w:ascii="宋体" w:hAnsi="宋体"/>
          <w:sz w:val="24"/>
        </w:rPr>
        <w:t>对纠正措施实施效果进行评价等</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对每一个存在的问题应提交相应的整改见证材料，整改见证材料应按照相应专用指南的要求编制。</w:t>
      </w:r>
    </w:p>
    <w:p>
      <w:pPr>
        <w:spacing w:line="360" w:lineRule="auto"/>
        <w:ind w:firstLine="560" w:firstLineChars="200"/>
        <w:rPr>
          <w:rFonts w:ascii="宋体" w:hAnsi="宋体"/>
          <w:sz w:val="24"/>
        </w:rPr>
      </w:pPr>
      <w:r>
        <w:rPr>
          <w:rFonts w:hint="eastAsia" w:ascii="宋体" w:hAnsi="宋体" w:cs="黑体"/>
          <w:sz w:val="28"/>
          <w:szCs w:val="28"/>
        </w:rPr>
        <w:br w:type="page"/>
      </w:r>
    </w:p>
    <w:p>
      <w:pPr>
        <w:adjustRightInd w:val="0"/>
        <w:snapToGrid w:val="0"/>
        <w:spacing w:line="360" w:lineRule="auto"/>
        <w:rPr>
          <w:rFonts w:ascii="宋体" w:hAnsi="宋体" w:cs="宋体"/>
          <w:sz w:val="24"/>
        </w:rPr>
      </w:pPr>
      <w:r>
        <w:rPr>
          <w:rFonts w:hint="eastAsia" w:ascii="宋体" w:hAnsi="宋体" w:cs="宋体"/>
          <w:sz w:val="24"/>
        </w:rPr>
        <w:t>附件B</w:t>
      </w:r>
    </w:p>
    <w:p>
      <w:pPr>
        <w:adjustRightInd w:val="0"/>
        <w:snapToGrid w:val="0"/>
        <w:spacing w:line="360" w:lineRule="auto"/>
        <w:rPr>
          <w:rFonts w:ascii="宋体" w:hAnsi="宋体" w:cs="宋体"/>
          <w:sz w:val="24"/>
        </w:rPr>
      </w:pPr>
    </w:p>
    <w:p>
      <w:pPr>
        <w:adjustRightInd w:val="0"/>
        <w:snapToGrid w:val="0"/>
        <w:spacing w:line="360" w:lineRule="auto"/>
        <w:jc w:val="center"/>
        <w:rPr>
          <w:rFonts w:ascii="宋体" w:hAnsi="宋体"/>
          <w:b/>
          <w:bCs/>
          <w:sz w:val="32"/>
          <w:szCs w:val="32"/>
        </w:rPr>
      </w:pPr>
    </w:p>
    <w:p>
      <w:pPr>
        <w:jc w:val="center"/>
        <w:rPr>
          <w:rFonts w:ascii="宋体" w:hAnsi="宋体"/>
          <w:b/>
          <w:bCs/>
          <w:sz w:val="84"/>
          <w:szCs w:val="84"/>
        </w:rPr>
      </w:pPr>
      <w:r>
        <w:rPr>
          <w:rFonts w:hint="eastAsia" w:ascii="宋体" w:hAnsi="宋体"/>
          <w:b/>
          <w:bCs/>
          <w:sz w:val="52"/>
          <w:szCs w:val="52"/>
        </w:rPr>
        <w:t>特种设备鉴定评审整改报告</w:t>
      </w: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ind w:firstLine="948" w:firstLineChars="295"/>
        <w:jc w:val="left"/>
        <w:rPr>
          <w:rFonts w:ascii="宋体" w:hAnsi="宋体"/>
          <w:b/>
          <w:bCs/>
          <w:sz w:val="32"/>
          <w:szCs w:val="32"/>
        </w:rPr>
      </w:pPr>
      <w:r>
        <w:rPr>
          <w:rFonts w:hint="eastAsia" w:ascii="宋体" w:hAnsi="宋体"/>
          <w:b/>
          <w:bCs/>
          <w:sz w:val="32"/>
          <w:szCs w:val="32"/>
        </w:rPr>
        <w:t>申请单位：</w:t>
      </w:r>
    </w:p>
    <w:p>
      <w:pPr>
        <w:spacing w:before="156" w:beforeLines="50"/>
        <w:ind w:firstLine="948" w:firstLineChars="295"/>
        <w:jc w:val="left"/>
        <w:rPr>
          <w:rFonts w:ascii="宋体" w:hAnsi="宋体"/>
          <w:b/>
          <w:bCs/>
          <w:sz w:val="32"/>
          <w:szCs w:val="32"/>
        </w:rPr>
      </w:pPr>
      <w:r>
        <w:rPr>
          <w:rFonts w:hint="eastAsia" w:ascii="宋体" w:hAnsi="宋体"/>
          <w:b/>
          <w:bCs/>
          <w:sz w:val="32"/>
          <w:szCs w:val="32"/>
        </w:rPr>
        <w:t>单位类别：</w:t>
      </w:r>
    </w:p>
    <w:p>
      <w:pPr>
        <w:spacing w:before="156" w:beforeLines="50"/>
        <w:ind w:firstLine="948" w:firstLineChars="295"/>
        <w:jc w:val="left"/>
        <w:rPr>
          <w:rFonts w:ascii="宋体" w:hAnsi="宋体"/>
          <w:b/>
          <w:bCs/>
          <w:sz w:val="32"/>
          <w:szCs w:val="32"/>
        </w:rPr>
      </w:pPr>
      <w:r>
        <w:rPr>
          <w:rFonts w:hint="eastAsia" w:ascii="宋体" w:hAnsi="宋体"/>
          <w:b/>
          <w:bCs/>
          <w:sz w:val="32"/>
          <w:szCs w:val="32"/>
        </w:rPr>
        <w:t>申请项目：</w:t>
      </w:r>
    </w:p>
    <w:p>
      <w:pPr>
        <w:spacing w:before="156" w:beforeLines="50"/>
        <w:ind w:firstLine="948" w:firstLineChars="295"/>
        <w:jc w:val="left"/>
        <w:rPr>
          <w:rFonts w:ascii="宋体" w:hAnsi="宋体"/>
          <w:b/>
          <w:bCs/>
          <w:sz w:val="32"/>
          <w:szCs w:val="32"/>
        </w:rPr>
      </w:pPr>
      <w:r>
        <w:rPr>
          <w:rFonts w:hint="eastAsia" w:ascii="宋体" w:hAnsi="宋体"/>
          <w:b/>
          <w:bCs/>
          <w:sz w:val="32"/>
          <w:szCs w:val="32"/>
        </w:rPr>
        <w:t>申请类别：</w:t>
      </w:r>
    </w:p>
    <w:p>
      <w:pPr>
        <w:spacing w:before="156" w:beforeLines="50"/>
        <w:ind w:firstLine="948" w:firstLineChars="295"/>
        <w:jc w:val="left"/>
        <w:rPr>
          <w:rFonts w:ascii="宋体" w:hAnsi="宋体"/>
          <w:b/>
          <w:bCs/>
          <w:sz w:val="32"/>
          <w:szCs w:val="32"/>
        </w:rPr>
      </w:pPr>
      <w:r>
        <w:rPr>
          <w:rFonts w:ascii="宋体" w:hAnsi="宋体"/>
          <w:b/>
          <w:bCs/>
          <w:sz w:val="32"/>
          <w:szCs w:val="32"/>
        </w:rPr>
        <w:t>评审机构：</w:t>
      </w:r>
      <w:r>
        <w:rPr>
          <w:rFonts w:hint="eastAsia" w:ascii="宋体" w:hAnsi="宋体"/>
          <w:b/>
          <w:bCs/>
          <w:sz w:val="32"/>
          <w:szCs w:val="32"/>
        </w:rPr>
        <w:t>湖南省特种设备协会</w:t>
      </w:r>
    </w:p>
    <w:p>
      <w:pPr>
        <w:spacing w:line="260" w:lineRule="exact"/>
        <w:rPr>
          <w:rFonts w:ascii="宋体" w:hAnsi="宋体" w:cs="黑体"/>
          <w:sz w:val="28"/>
          <w:szCs w:val="28"/>
        </w:rPr>
      </w:pPr>
      <w:r>
        <w:rPr>
          <w:rFonts w:hint="eastAsia" w:ascii="宋体" w:hAnsi="宋体" w:cs="黑体"/>
          <w:sz w:val="28"/>
          <w:szCs w:val="28"/>
        </w:rPr>
        <w:br w:type="page"/>
      </w:r>
    </w:p>
    <w:p>
      <w:pPr>
        <w:spacing w:line="240" w:lineRule="auto"/>
        <w:jc w:val="center"/>
        <w:rPr>
          <w:rFonts w:ascii="宋体" w:hAnsi="宋体"/>
          <w:b/>
          <w:sz w:val="24"/>
        </w:rPr>
      </w:pPr>
    </w:p>
    <w:p>
      <w:pPr>
        <w:spacing w:line="600" w:lineRule="auto"/>
        <w:jc w:val="center"/>
        <w:rPr>
          <w:rFonts w:ascii="宋体" w:hAnsi="宋体"/>
          <w:b/>
          <w:sz w:val="32"/>
        </w:rPr>
      </w:pPr>
      <w:r>
        <w:rPr>
          <w:rFonts w:hint="eastAsia" w:ascii="宋体" w:hAnsi="宋体"/>
          <w:b/>
          <w:sz w:val="30"/>
        </w:rPr>
        <w:t>目  录</w:t>
      </w:r>
    </w:p>
    <w:p>
      <w:pPr>
        <w:spacing w:line="240" w:lineRule="auto"/>
        <w:jc w:val="center"/>
        <w:rPr>
          <w:rFonts w:ascii="宋体" w:hAnsi="宋体"/>
          <w:b/>
          <w:sz w:val="24"/>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661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shd w:val="clear" w:color="auto" w:fill="E6E6E6"/>
            <w:vAlign w:val="center"/>
          </w:tcPr>
          <w:p>
            <w:pPr>
              <w:widowControl/>
              <w:autoSpaceDE w:val="0"/>
              <w:autoSpaceDN w:val="0"/>
              <w:spacing w:line="360" w:lineRule="auto"/>
              <w:ind w:right="52"/>
              <w:jc w:val="center"/>
              <w:textAlignment w:val="bottom"/>
              <w:rPr>
                <w:rFonts w:ascii="Arial" w:hAnsi="Arial"/>
                <w:b/>
                <w:sz w:val="24"/>
              </w:rPr>
            </w:pPr>
            <w:r>
              <w:rPr>
                <w:rFonts w:hint="eastAsia" w:ascii="Arial" w:hAnsi="Arial"/>
                <w:b/>
                <w:sz w:val="24"/>
              </w:rPr>
              <w:t>序号</w:t>
            </w:r>
          </w:p>
        </w:tc>
        <w:tc>
          <w:tcPr>
            <w:tcW w:w="6615" w:type="dxa"/>
            <w:shd w:val="clear" w:color="auto" w:fill="E6E6E6"/>
            <w:vAlign w:val="center"/>
          </w:tcPr>
          <w:p>
            <w:pPr>
              <w:widowControl/>
              <w:autoSpaceDE w:val="0"/>
              <w:autoSpaceDN w:val="0"/>
              <w:spacing w:line="360" w:lineRule="auto"/>
              <w:ind w:right="52"/>
              <w:jc w:val="center"/>
              <w:textAlignment w:val="bottom"/>
              <w:rPr>
                <w:rFonts w:ascii="Arial" w:hAnsi="Arial"/>
                <w:b/>
                <w:sz w:val="24"/>
              </w:rPr>
            </w:pPr>
            <w:r>
              <w:rPr>
                <w:rFonts w:hint="eastAsia" w:ascii="Arial" w:hAnsi="Arial"/>
                <w:b/>
                <w:sz w:val="24"/>
              </w:rPr>
              <w:t>文件名称</w:t>
            </w:r>
          </w:p>
        </w:tc>
        <w:tc>
          <w:tcPr>
            <w:tcW w:w="1262" w:type="dxa"/>
            <w:shd w:val="clear" w:color="auto" w:fill="E6E6E6"/>
            <w:vAlign w:val="center"/>
          </w:tcPr>
          <w:p>
            <w:pPr>
              <w:widowControl/>
              <w:autoSpaceDE w:val="0"/>
              <w:autoSpaceDN w:val="0"/>
              <w:spacing w:line="360" w:lineRule="auto"/>
              <w:ind w:right="52"/>
              <w:jc w:val="center"/>
              <w:textAlignment w:val="bottom"/>
              <w:rPr>
                <w:rFonts w:ascii="Arial" w:hAnsi="Arial"/>
                <w:b/>
                <w:sz w:val="24"/>
              </w:rPr>
            </w:pPr>
            <w:r>
              <w:rPr>
                <w:rFonts w:hint="eastAsia" w:ascii="Arial" w:hAnsi="Arial"/>
                <w:b/>
                <w:sz w:val="24"/>
              </w:rPr>
              <w:t>页 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特种设备鉴定评审工作备忘录</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2</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鉴定评审整改报告</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3</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附件1</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4</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附件2</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5</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附件3</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6</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附件4</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7</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附件5</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8</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附件6</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9</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附件7</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10</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附件8</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11</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附件9</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12</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附件10</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13</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附件11</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43" w:type="dxa"/>
            <w:vAlign w:val="center"/>
          </w:tcPr>
          <w:p>
            <w:pPr>
              <w:widowControl/>
              <w:autoSpaceDE w:val="0"/>
              <w:autoSpaceDN w:val="0"/>
              <w:spacing w:line="360" w:lineRule="auto"/>
              <w:ind w:right="52"/>
              <w:jc w:val="center"/>
              <w:textAlignment w:val="bottom"/>
              <w:rPr>
                <w:rFonts w:ascii="宋体" w:hAnsi="宋体"/>
                <w:bCs/>
                <w:sz w:val="24"/>
              </w:rPr>
            </w:pPr>
            <w:r>
              <w:rPr>
                <w:rFonts w:hint="eastAsia" w:ascii="宋体" w:hAnsi="宋体"/>
                <w:bCs/>
                <w:sz w:val="24"/>
              </w:rPr>
              <w:t>14</w:t>
            </w:r>
          </w:p>
        </w:tc>
        <w:tc>
          <w:tcPr>
            <w:tcW w:w="6615" w:type="dxa"/>
            <w:vAlign w:val="center"/>
          </w:tcPr>
          <w:p>
            <w:pPr>
              <w:widowControl/>
              <w:autoSpaceDE w:val="0"/>
              <w:autoSpaceDN w:val="0"/>
              <w:spacing w:line="360" w:lineRule="auto"/>
              <w:ind w:right="52"/>
              <w:textAlignment w:val="bottom"/>
              <w:rPr>
                <w:rFonts w:ascii="宋体" w:hAnsi="宋体"/>
                <w:bCs/>
                <w:sz w:val="24"/>
              </w:rPr>
            </w:pPr>
            <w:r>
              <w:rPr>
                <w:rFonts w:hint="eastAsia" w:ascii="宋体" w:hAnsi="宋体"/>
                <w:bCs/>
                <w:sz w:val="24"/>
              </w:rPr>
              <w:t>附件12</w:t>
            </w:r>
          </w:p>
        </w:tc>
        <w:tc>
          <w:tcPr>
            <w:tcW w:w="1262" w:type="dxa"/>
            <w:vAlign w:val="bottom"/>
          </w:tcPr>
          <w:p>
            <w:pPr>
              <w:widowControl/>
              <w:autoSpaceDE w:val="0"/>
              <w:autoSpaceDN w:val="0"/>
              <w:spacing w:line="360" w:lineRule="auto"/>
              <w:ind w:right="52"/>
              <w:jc w:val="center"/>
              <w:textAlignment w:val="bottom"/>
              <w:rPr>
                <w:rFonts w:ascii="宋体" w:hAnsi="宋体"/>
                <w:bCs/>
                <w:sz w:val="24"/>
              </w:rPr>
            </w:pPr>
          </w:p>
        </w:tc>
      </w:tr>
    </w:tbl>
    <w:p>
      <w:pPr>
        <w:spacing w:before="156" w:beforeLines="50"/>
        <w:ind w:firstLine="948" w:firstLineChars="295"/>
        <w:jc w:val="left"/>
        <w:rPr>
          <w:rFonts w:ascii="宋体" w:hAnsi="宋体"/>
          <w:b/>
          <w:bCs/>
          <w:sz w:val="32"/>
          <w:szCs w:val="32"/>
        </w:rPr>
      </w:pPr>
    </w:p>
    <w:p>
      <w:pPr>
        <w:spacing w:line="260" w:lineRule="exact"/>
        <w:rPr>
          <w:rFonts w:ascii="宋体" w:hAnsi="宋体" w:cs="黑体"/>
          <w:sz w:val="28"/>
          <w:szCs w:val="28"/>
        </w:rPr>
      </w:pPr>
      <w:r>
        <w:rPr>
          <w:rFonts w:hint="eastAsia" w:ascii="宋体" w:hAnsi="宋体" w:cs="黑体"/>
          <w:sz w:val="28"/>
          <w:szCs w:val="28"/>
        </w:rPr>
        <w:br w:type="page"/>
      </w:r>
    </w:p>
    <w:p>
      <w:pPr>
        <w:spacing w:line="360" w:lineRule="auto"/>
        <w:jc w:val="center"/>
        <w:rPr>
          <w:rFonts w:ascii="黑体" w:hAnsi="黑体" w:eastAsia="黑体"/>
          <w:sz w:val="32"/>
          <w:szCs w:val="32"/>
        </w:rPr>
      </w:pPr>
      <w:r>
        <w:rPr>
          <w:rFonts w:hint="eastAsia" w:ascii="黑体" w:hAnsi="黑体" w:eastAsia="黑体"/>
          <w:bCs/>
          <w:sz w:val="32"/>
          <w:szCs w:val="32"/>
        </w:rPr>
        <w:t>鉴定评审整改报告</w:t>
      </w:r>
    </w:p>
    <w:p>
      <w:pPr>
        <w:spacing w:line="360" w:lineRule="auto"/>
        <w:rPr>
          <w:rFonts w:ascii="宋体" w:hAnsi="宋体"/>
          <w:sz w:val="24"/>
        </w:rPr>
      </w:pPr>
      <w:r>
        <w:rPr>
          <w:rFonts w:hint="eastAsia" w:ascii="宋体" w:hAnsi="宋体"/>
          <w:sz w:val="24"/>
        </w:rPr>
        <w:t>湖南省特种设备协会：</w:t>
      </w:r>
    </w:p>
    <w:p>
      <w:pPr>
        <w:spacing w:line="360" w:lineRule="auto"/>
        <w:ind w:firstLine="480" w:firstLineChars="200"/>
        <w:rPr>
          <w:rFonts w:ascii="宋体" w:hAnsi="宋体"/>
          <w:sz w:val="24"/>
        </w:rPr>
      </w:pPr>
      <w:r>
        <w:rPr>
          <w:rFonts w:hint="eastAsia" w:ascii="宋体" w:hAnsi="宋体"/>
          <w:sz w:val="24"/>
        </w:rPr>
        <w:t>由贵协会派出的评审组于XXXX年XX月XX日至XXXX年XX月XX日对我单位进行了现场鉴定评审。</w:t>
      </w:r>
    </w:p>
    <w:p>
      <w:pPr>
        <w:spacing w:line="360" w:lineRule="auto"/>
        <w:ind w:firstLine="480" w:firstLineChars="200"/>
        <w:rPr>
          <w:rFonts w:ascii="宋体" w:hAnsi="宋体"/>
          <w:sz w:val="24"/>
        </w:rPr>
      </w:pPr>
      <w:r>
        <w:rPr>
          <w:rFonts w:hint="eastAsia" w:ascii="宋体" w:hAnsi="宋体"/>
          <w:sz w:val="24"/>
        </w:rPr>
        <w:t>现场鉴定评审结束后，我单位于XXXX年XX月XX日接到贵协会发出的《特种设备鉴定评审工作备忘录》(以下简称备忘录)，就备忘录中所提出的XX个方面的XX个问题于XXXX年XX月XX日完成了全部整改工作。现将整改情况报告如下：</w:t>
      </w:r>
    </w:p>
    <w:p>
      <w:pPr>
        <w:spacing w:line="360" w:lineRule="auto"/>
        <w:ind w:left="420"/>
        <w:outlineLvl w:val="0"/>
        <w:rPr>
          <w:rFonts w:ascii="宋体" w:hAnsi="宋体"/>
          <w:bCs/>
          <w:sz w:val="24"/>
        </w:rPr>
      </w:pPr>
      <w:r>
        <w:rPr>
          <w:rFonts w:hint="eastAsia" w:ascii="宋体" w:hAnsi="宋体"/>
          <w:bCs/>
          <w:sz w:val="24"/>
        </w:rPr>
        <w:t>一、存在问题与整改情况</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760"/>
        <w:gridCol w:w="2731"/>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38" w:type="dxa"/>
            <w:shd w:val="clear" w:color="auto" w:fill="E6E6E6"/>
            <w:vAlign w:val="center"/>
          </w:tcPr>
          <w:p>
            <w:pPr>
              <w:jc w:val="center"/>
              <w:rPr>
                <w:rFonts w:ascii="宋体" w:hAnsi="宋体"/>
                <w:b/>
              </w:rPr>
            </w:pPr>
            <w:r>
              <w:rPr>
                <w:rFonts w:hint="eastAsia" w:ascii="宋体" w:hAnsi="宋体"/>
                <w:b/>
              </w:rPr>
              <w:t>问题类别</w:t>
            </w:r>
          </w:p>
        </w:tc>
        <w:tc>
          <w:tcPr>
            <w:tcW w:w="2760" w:type="dxa"/>
            <w:shd w:val="clear" w:color="auto" w:fill="E6E6E6"/>
            <w:vAlign w:val="center"/>
          </w:tcPr>
          <w:p>
            <w:pPr>
              <w:jc w:val="center"/>
              <w:rPr>
                <w:rFonts w:ascii="宋体" w:hAnsi="宋体"/>
                <w:b/>
              </w:rPr>
            </w:pPr>
            <w:r>
              <w:rPr>
                <w:rFonts w:hint="eastAsia" w:ascii="宋体" w:hAnsi="宋体"/>
                <w:b/>
              </w:rPr>
              <w:t>存在的问题</w:t>
            </w:r>
          </w:p>
        </w:tc>
        <w:tc>
          <w:tcPr>
            <w:tcW w:w="2731" w:type="dxa"/>
            <w:shd w:val="clear" w:color="auto" w:fill="E6E6E6"/>
            <w:vAlign w:val="center"/>
          </w:tcPr>
          <w:p>
            <w:pPr>
              <w:jc w:val="center"/>
              <w:rPr>
                <w:rFonts w:ascii="宋体" w:hAnsi="宋体"/>
                <w:b/>
              </w:rPr>
            </w:pPr>
            <w:r>
              <w:rPr>
                <w:rFonts w:hint="eastAsia" w:ascii="宋体" w:hAnsi="宋体"/>
                <w:b/>
              </w:rPr>
              <w:t>整改情况</w:t>
            </w:r>
          </w:p>
          <w:p>
            <w:pPr>
              <w:jc w:val="center"/>
              <w:rPr>
                <w:rFonts w:ascii="宋体" w:hAnsi="宋体"/>
                <w:b/>
              </w:rPr>
            </w:pPr>
            <w:r>
              <w:rPr>
                <w:rFonts w:hint="eastAsia" w:ascii="宋体" w:hAnsi="宋体"/>
                <w:b/>
              </w:rPr>
              <w:t>（详细描述）</w:t>
            </w:r>
          </w:p>
        </w:tc>
        <w:tc>
          <w:tcPr>
            <w:tcW w:w="2071" w:type="dxa"/>
            <w:shd w:val="clear" w:color="auto" w:fill="E6E6E6"/>
            <w:vAlign w:val="center"/>
          </w:tcPr>
          <w:p>
            <w:pPr>
              <w:jc w:val="center"/>
              <w:rPr>
                <w:rFonts w:ascii="宋体" w:hAnsi="宋体"/>
                <w:b/>
              </w:rPr>
            </w:pPr>
            <w:r>
              <w:rPr>
                <w:rFonts w:hint="eastAsia" w:ascii="宋体" w:hAnsi="宋体"/>
                <w:b/>
              </w:rPr>
              <w:t>见证材料</w:t>
            </w:r>
          </w:p>
          <w:p>
            <w:pPr>
              <w:jc w:val="center"/>
              <w:rPr>
                <w:rFonts w:ascii="宋体" w:hAnsi="宋体"/>
                <w:b/>
              </w:rPr>
            </w:pPr>
            <w:r>
              <w:rPr>
                <w:rFonts w:hint="eastAsia" w:ascii="宋体" w:hAnsi="宋体"/>
                <w:b/>
              </w:rPr>
              <w:t>（注明页数）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60" w:lineRule="auto"/>
              <w:jc w:val="center"/>
              <w:rPr>
                <w:rFonts w:ascii="宋体" w:hAnsi="宋体"/>
                <w:bCs/>
              </w:rPr>
            </w:pPr>
            <w:r>
              <w:rPr>
                <w:rFonts w:hint="eastAsia" w:ascii="宋体" w:hAnsi="宋体"/>
                <w:bCs/>
              </w:rPr>
              <w:t>XX</w:t>
            </w:r>
          </w:p>
        </w:tc>
        <w:tc>
          <w:tcPr>
            <w:tcW w:w="2760" w:type="dxa"/>
            <w:vAlign w:val="center"/>
          </w:tcPr>
          <w:p>
            <w:pPr>
              <w:spacing w:line="360" w:lineRule="auto"/>
              <w:rPr>
                <w:rFonts w:ascii="宋体" w:hAnsi="宋体"/>
                <w:bCs/>
              </w:rPr>
            </w:pPr>
            <w:r>
              <w:rPr>
                <w:rFonts w:hint="eastAsia" w:ascii="宋体" w:hAnsi="宋体"/>
                <w:bCs/>
              </w:rPr>
              <w:t>1、</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60" w:lineRule="auto"/>
              <w:jc w:val="center"/>
              <w:rPr>
                <w:rFonts w:ascii="宋体" w:hAnsi="宋体"/>
                <w:bCs/>
              </w:rPr>
            </w:pPr>
          </w:p>
        </w:tc>
        <w:tc>
          <w:tcPr>
            <w:tcW w:w="2760" w:type="dxa"/>
            <w:vAlign w:val="center"/>
          </w:tcPr>
          <w:p>
            <w:pPr>
              <w:spacing w:line="360" w:lineRule="auto"/>
              <w:rPr>
                <w:rFonts w:ascii="宋体" w:hAnsi="宋体"/>
                <w:bCs/>
              </w:rPr>
            </w:pPr>
            <w:r>
              <w:rPr>
                <w:rFonts w:hint="eastAsia" w:ascii="宋体" w:hAnsi="宋体"/>
                <w:bCs/>
              </w:rPr>
              <w:t>2、</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60" w:lineRule="auto"/>
              <w:jc w:val="center"/>
              <w:rPr>
                <w:rFonts w:ascii="宋体" w:hAnsi="宋体"/>
                <w:bCs/>
              </w:rPr>
            </w:pPr>
          </w:p>
        </w:tc>
        <w:tc>
          <w:tcPr>
            <w:tcW w:w="2760" w:type="dxa"/>
            <w:vAlign w:val="center"/>
          </w:tcPr>
          <w:p>
            <w:pPr>
              <w:spacing w:line="360" w:lineRule="auto"/>
              <w:rPr>
                <w:rFonts w:ascii="宋体" w:hAnsi="宋体"/>
                <w:bCs/>
              </w:rPr>
            </w:pPr>
            <w:r>
              <w:rPr>
                <w:rFonts w:hint="eastAsia" w:ascii="宋体" w:hAnsi="宋体"/>
                <w:bCs/>
              </w:rPr>
              <w:t>3、</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60" w:lineRule="auto"/>
              <w:jc w:val="center"/>
              <w:rPr>
                <w:rFonts w:ascii="宋体" w:hAnsi="宋体"/>
                <w:bCs/>
              </w:rPr>
            </w:pPr>
            <w:r>
              <w:rPr>
                <w:rFonts w:hint="eastAsia" w:ascii="宋体" w:hAnsi="宋体"/>
                <w:bCs/>
              </w:rPr>
              <w:t>XX</w:t>
            </w:r>
          </w:p>
        </w:tc>
        <w:tc>
          <w:tcPr>
            <w:tcW w:w="2760" w:type="dxa"/>
            <w:vAlign w:val="center"/>
          </w:tcPr>
          <w:p>
            <w:pPr>
              <w:spacing w:line="360" w:lineRule="auto"/>
              <w:rPr>
                <w:rFonts w:ascii="宋体" w:hAnsi="宋体"/>
                <w:bCs/>
              </w:rPr>
            </w:pPr>
            <w:r>
              <w:rPr>
                <w:rFonts w:hint="eastAsia" w:ascii="宋体" w:hAnsi="宋体"/>
                <w:bCs/>
              </w:rPr>
              <w:t>1、</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60" w:lineRule="auto"/>
              <w:jc w:val="center"/>
              <w:rPr>
                <w:rFonts w:ascii="宋体" w:hAnsi="宋体"/>
                <w:bCs/>
              </w:rPr>
            </w:pPr>
          </w:p>
        </w:tc>
        <w:tc>
          <w:tcPr>
            <w:tcW w:w="2760" w:type="dxa"/>
            <w:vAlign w:val="center"/>
          </w:tcPr>
          <w:p>
            <w:pPr>
              <w:spacing w:line="360" w:lineRule="auto"/>
              <w:rPr>
                <w:rFonts w:ascii="宋体" w:hAnsi="宋体"/>
                <w:bCs/>
              </w:rPr>
            </w:pPr>
            <w:r>
              <w:rPr>
                <w:rFonts w:hint="eastAsia" w:ascii="宋体" w:hAnsi="宋体"/>
                <w:bCs/>
              </w:rPr>
              <w:t>2、</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38" w:type="dxa"/>
            <w:vMerge w:val="continue"/>
            <w:vAlign w:val="center"/>
          </w:tcPr>
          <w:p>
            <w:pPr>
              <w:spacing w:line="360" w:lineRule="auto"/>
              <w:jc w:val="center"/>
              <w:rPr>
                <w:rFonts w:ascii="宋体" w:hAnsi="宋体"/>
                <w:bCs/>
              </w:rPr>
            </w:pPr>
          </w:p>
        </w:tc>
        <w:tc>
          <w:tcPr>
            <w:tcW w:w="2760" w:type="dxa"/>
            <w:vAlign w:val="center"/>
          </w:tcPr>
          <w:p>
            <w:pPr>
              <w:spacing w:line="360" w:lineRule="auto"/>
              <w:rPr>
                <w:rFonts w:ascii="宋体" w:hAnsi="宋体"/>
                <w:bCs/>
              </w:rPr>
            </w:pPr>
            <w:r>
              <w:rPr>
                <w:rFonts w:hint="eastAsia" w:ascii="宋体" w:hAnsi="宋体"/>
                <w:bCs/>
              </w:rPr>
              <w:t>3、</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restart"/>
            <w:vAlign w:val="center"/>
          </w:tcPr>
          <w:p>
            <w:pPr>
              <w:spacing w:line="360" w:lineRule="auto"/>
              <w:jc w:val="center"/>
              <w:rPr>
                <w:rFonts w:ascii="宋体" w:hAnsi="宋体"/>
                <w:bCs/>
              </w:rPr>
            </w:pPr>
            <w:r>
              <w:rPr>
                <w:rFonts w:hint="eastAsia" w:ascii="宋体" w:hAnsi="宋体"/>
                <w:bCs/>
              </w:rPr>
              <w:t>XX</w:t>
            </w:r>
          </w:p>
        </w:tc>
        <w:tc>
          <w:tcPr>
            <w:tcW w:w="2760" w:type="dxa"/>
            <w:vAlign w:val="center"/>
          </w:tcPr>
          <w:p>
            <w:pPr>
              <w:spacing w:line="360" w:lineRule="auto"/>
              <w:rPr>
                <w:rFonts w:ascii="宋体" w:hAnsi="宋体"/>
                <w:bCs/>
              </w:rPr>
            </w:pPr>
            <w:r>
              <w:rPr>
                <w:rFonts w:hint="eastAsia" w:ascii="宋体" w:hAnsi="宋体"/>
                <w:bCs/>
              </w:rPr>
              <w:t>1、</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60" w:lineRule="auto"/>
              <w:jc w:val="center"/>
              <w:rPr>
                <w:rFonts w:ascii="宋体" w:hAnsi="宋体"/>
                <w:bCs/>
              </w:rPr>
            </w:pPr>
          </w:p>
        </w:tc>
        <w:tc>
          <w:tcPr>
            <w:tcW w:w="2760" w:type="dxa"/>
            <w:vAlign w:val="center"/>
          </w:tcPr>
          <w:p>
            <w:pPr>
              <w:spacing w:line="360" w:lineRule="auto"/>
              <w:rPr>
                <w:rFonts w:ascii="宋体" w:hAnsi="宋体"/>
                <w:bCs/>
              </w:rPr>
            </w:pPr>
            <w:r>
              <w:rPr>
                <w:rFonts w:hint="eastAsia" w:ascii="宋体" w:hAnsi="宋体"/>
                <w:bCs/>
              </w:rPr>
              <w:t>2、</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8" w:type="dxa"/>
            <w:vMerge w:val="continue"/>
            <w:vAlign w:val="center"/>
          </w:tcPr>
          <w:p>
            <w:pPr>
              <w:spacing w:line="360" w:lineRule="auto"/>
              <w:jc w:val="center"/>
              <w:rPr>
                <w:rFonts w:ascii="宋体" w:hAnsi="宋体"/>
                <w:bCs/>
              </w:rPr>
            </w:pPr>
          </w:p>
        </w:tc>
        <w:tc>
          <w:tcPr>
            <w:tcW w:w="2760" w:type="dxa"/>
            <w:vAlign w:val="center"/>
          </w:tcPr>
          <w:p>
            <w:pPr>
              <w:spacing w:line="360" w:lineRule="auto"/>
              <w:rPr>
                <w:rFonts w:ascii="宋体" w:hAnsi="宋体"/>
                <w:bCs/>
              </w:rPr>
            </w:pPr>
            <w:r>
              <w:rPr>
                <w:rFonts w:hint="eastAsia" w:ascii="宋体" w:hAnsi="宋体"/>
                <w:bCs/>
              </w:rPr>
              <w:t>3、</w:t>
            </w:r>
          </w:p>
        </w:tc>
        <w:tc>
          <w:tcPr>
            <w:tcW w:w="2731" w:type="dxa"/>
            <w:vAlign w:val="center"/>
          </w:tcPr>
          <w:p>
            <w:pPr>
              <w:spacing w:line="360" w:lineRule="auto"/>
              <w:rPr>
                <w:rFonts w:ascii="宋体" w:hAnsi="宋体"/>
                <w:bCs/>
              </w:rPr>
            </w:pPr>
          </w:p>
        </w:tc>
        <w:tc>
          <w:tcPr>
            <w:tcW w:w="2071" w:type="dxa"/>
            <w:vAlign w:val="center"/>
          </w:tcPr>
          <w:p>
            <w:pPr>
              <w:spacing w:line="360" w:lineRule="auto"/>
              <w:rPr>
                <w:rFonts w:ascii="宋体" w:hAnsi="宋体"/>
                <w:bCs/>
              </w:rPr>
            </w:pPr>
            <w:r>
              <w:rPr>
                <w:rFonts w:hint="eastAsia" w:ascii="宋体" w:hAnsi="宋体"/>
                <w:bCs/>
              </w:rPr>
              <w:t>附件X（共X页）</w:t>
            </w:r>
          </w:p>
        </w:tc>
      </w:tr>
    </w:tbl>
    <w:p>
      <w:pPr>
        <w:jc w:val="center"/>
      </w:pPr>
    </w:p>
    <w:p>
      <w:pPr>
        <w:spacing w:line="360" w:lineRule="auto"/>
        <w:ind w:firstLine="425"/>
        <w:outlineLvl w:val="0"/>
        <w:rPr>
          <w:rFonts w:ascii="宋体" w:hAnsi="宋体"/>
          <w:sz w:val="24"/>
        </w:rPr>
      </w:pPr>
      <w:r>
        <w:rPr>
          <w:rFonts w:hint="eastAsia" w:ascii="宋体" w:hAnsi="宋体"/>
          <w:sz w:val="24"/>
        </w:rPr>
        <w:t>二、其他说明：</w:t>
      </w:r>
    </w:p>
    <w:p>
      <w:pPr>
        <w:spacing w:line="360" w:lineRule="auto"/>
        <w:ind w:firstLine="842" w:firstLineChars="351"/>
        <w:rPr>
          <w:rFonts w:ascii="宋体" w:hAnsi="宋体"/>
          <w:sz w:val="24"/>
        </w:rPr>
      </w:pPr>
      <w:r>
        <w:rPr>
          <w:rFonts w:hint="eastAsia" w:ascii="宋体" w:hAnsi="宋体"/>
          <w:sz w:val="24"/>
        </w:rPr>
        <w:t>1、</w:t>
      </w:r>
    </w:p>
    <w:p>
      <w:pPr>
        <w:spacing w:line="360" w:lineRule="auto"/>
        <w:ind w:firstLine="842" w:firstLineChars="351"/>
        <w:rPr>
          <w:rFonts w:ascii="宋体" w:hAnsi="宋体"/>
          <w:sz w:val="24"/>
        </w:rPr>
      </w:pPr>
      <w:r>
        <w:rPr>
          <w:rFonts w:hint="eastAsia" w:ascii="宋体" w:hAnsi="宋体"/>
          <w:sz w:val="24"/>
        </w:rPr>
        <w:t>2、</w:t>
      </w:r>
    </w:p>
    <w:p>
      <w:pPr>
        <w:spacing w:line="360" w:lineRule="auto"/>
        <w:ind w:firstLine="842" w:firstLineChars="351"/>
        <w:rPr>
          <w:rFonts w:ascii="宋体" w:hAnsi="宋体"/>
          <w:sz w:val="24"/>
        </w:rPr>
      </w:pPr>
      <w:r>
        <w:rPr>
          <w:rFonts w:hint="eastAsia" w:ascii="宋体" w:hAnsi="宋体"/>
          <w:sz w:val="24"/>
        </w:rPr>
        <w:t>…………</w:t>
      </w:r>
    </w:p>
    <w:p>
      <w:pPr>
        <w:spacing w:line="360" w:lineRule="auto"/>
        <w:ind w:firstLine="842" w:firstLineChars="351"/>
        <w:rPr>
          <w:rFonts w:ascii="宋体" w:hAnsi="宋体"/>
          <w:sz w:val="24"/>
        </w:rPr>
      </w:pPr>
      <w:r>
        <w:rPr>
          <w:rFonts w:hint="eastAsia" w:ascii="宋体" w:hAnsi="宋体"/>
          <w:sz w:val="24"/>
        </w:rPr>
        <w:t>我单位承诺，对所提交的整改报告及见证材料的真实性负责。</w:t>
      </w:r>
    </w:p>
    <w:p>
      <w:pPr>
        <w:spacing w:line="360" w:lineRule="auto"/>
        <w:ind w:firstLine="425"/>
        <w:rPr>
          <w:rFonts w:ascii="宋体" w:hAnsi="宋体"/>
          <w:sz w:val="24"/>
        </w:rPr>
      </w:pPr>
    </w:p>
    <w:p>
      <w:pPr>
        <w:spacing w:line="360" w:lineRule="auto"/>
        <w:ind w:firstLine="425"/>
        <w:rPr>
          <w:rFonts w:ascii="宋体" w:hAnsi="宋体"/>
          <w:sz w:val="24"/>
        </w:rPr>
      </w:pPr>
    </w:p>
    <w:p>
      <w:pPr>
        <w:spacing w:line="360" w:lineRule="auto"/>
        <w:rPr>
          <w:rFonts w:ascii="宋体" w:hAnsi="宋体"/>
          <w:sz w:val="24"/>
        </w:rPr>
      </w:pPr>
      <w:r>
        <w:rPr>
          <w:rFonts w:hint="eastAsia" w:ascii="宋体" w:hAnsi="宋体"/>
          <w:sz w:val="24"/>
        </w:rPr>
        <w:t xml:space="preserve">                                                      XXXXX（公章）</w:t>
      </w:r>
    </w:p>
    <w:p>
      <w:pPr>
        <w:spacing w:before="156" w:beforeLines="50" w:after="156" w:afterLines="50" w:line="360" w:lineRule="auto"/>
        <w:jc w:val="center"/>
        <w:outlineLvl w:val="0"/>
        <w:rPr>
          <w:rFonts w:ascii="宋体" w:hAnsi="宋体"/>
          <w:sz w:val="24"/>
        </w:rPr>
      </w:pPr>
      <w:r>
        <w:rPr>
          <w:rFonts w:hint="eastAsia" w:ascii="宋体" w:hAnsi="宋体"/>
          <w:sz w:val="24"/>
        </w:rPr>
        <w:t xml:space="preserve">                                        XXXX年XX月 XX日</w:t>
      </w:r>
    </w:p>
    <w:sectPr>
      <w:footerReference r:id="rId8"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1033" o:spid="_x0000_s1033" o:spt="20" style="position:absolute;left:0pt;margin-left:0pt;margin-top:11.9pt;height:0pt;width:459pt;z-index:251659264;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line id="_x0000_s1042" o:spid="_x0000_s1042" o:spt="20" style="position:absolute;left:0pt;margin-left:0pt;margin-top:11.9pt;height:0pt;width:459pt;z-index:251662336;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2022年12月01日发布                                                        2022年12月10日实施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jc w:val="right"/>
      <w:rPr>
        <w:rFonts w:hAnsi="宋体"/>
        <w:sz w:val="18"/>
        <w:szCs w:val="18"/>
      </w:rPr>
    </w:pPr>
    <w:r>
      <w:pict>
        <v:shape id="_x0000_s1044" o:spid="_x0000_s1044" o:spt="202" type="#_x0000_t202" style="position:absolute;left:0pt;margin-left:215.95pt;margin-top:16pt;height:12pt;width:4.55p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1" o:spid="_x0000_s1041" o:spt="20" style="position:absolute;left:0pt;margin-left:0pt;margin-top:11.9pt;height:0pt;width:459pt;z-index:251661312;mso-width-relative:page;mso-height-relative:page;" coordsize="21600,21600">
          <v:path arrowok="t"/>
          <v:fill focussize="0,0"/>
          <v:stroke/>
          <v:imagedata o:title=""/>
          <o:lock v:ext="edit"/>
        </v:line>
      </w:pict>
    </w:r>
  </w:p>
  <w:p>
    <w:pPr>
      <w:pStyle w:val="11"/>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1pt;margin-top:22.8pt;height:0pt;width:459pt;z-index:251660288;mso-width-relative:page;mso-height-relative:page;" coordsize="21600,21600">
          <v:path arrowok="t"/>
          <v:fill focussize="0,0"/>
          <v:stroke/>
          <v:imagedata o:title=""/>
          <o:lock v:ext="edit"/>
        </v:line>
      </w:pict>
    </w:r>
    <w:r>
      <w:rPr>
        <w:rFonts w:hint="eastAsia" w:hAnsi="宋体"/>
        <w:sz w:val="18"/>
        <w:szCs w:val="18"/>
      </w:rPr>
      <w:t xml:space="preserve">XTXPS/ZN-JCX-2022                                </w:t>
    </w:r>
    <w:r>
      <w:rPr>
        <w:rFonts w:ascii="华文行楷" w:eastAsia="华文行楷"/>
        <w:sz w:val="21"/>
      </w:rPr>
      <w:drawing>
        <wp:inline distT="0" distB="0" distL="0" distR="0">
          <wp:extent cx="234315" cy="212090"/>
          <wp:effectExtent l="0" t="0" r="9525" b="127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34315" cy="21209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18"/>
        <w:rFonts w:hint="eastAsia" w:hAnsi="宋体" w:cs="宋体"/>
        <w:bCs/>
        <w:sz w:val="18"/>
        <w:szCs w:val="18"/>
      </w:rPr>
      <w:t>通用指南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16CBA"/>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0565"/>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2CE5"/>
    <w:rsid w:val="0035326C"/>
    <w:rsid w:val="00353D71"/>
    <w:rsid w:val="00355191"/>
    <w:rsid w:val="00355DD4"/>
    <w:rsid w:val="0035601A"/>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446C"/>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217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032D"/>
    <w:rsid w:val="00461361"/>
    <w:rsid w:val="00461A68"/>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A0C"/>
    <w:rsid w:val="00494693"/>
    <w:rsid w:val="004969DD"/>
    <w:rsid w:val="004A04F4"/>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77A82"/>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5720"/>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11AD"/>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3022"/>
    <w:rsid w:val="007743DA"/>
    <w:rsid w:val="007748AB"/>
    <w:rsid w:val="00777186"/>
    <w:rsid w:val="0077755D"/>
    <w:rsid w:val="007775B4"/>
    <w:rsid w:val="00780E7A"/>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6FE3"/>
    <w:rsid w:val="0081721E"/>
    <w:rsid w:val="00822764"/>
    <w:rsid w:val="00822B31"/>
    <w:rsid w:val="008240FA"/>
    <w:rsid w:val="00825C91"/>
    <w:rsid w:val="008273A8"/>
    <w:rsid w:val="00827490"/>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185A"/>
    <w:rsid w:val="009B30AA"/>
    <w:rsid w:val="009B39A3"/>
    <w:rsid w:val="009B4482"/>
    <w:rsid w:val="009B5040"/>
    <w:rsid w:val="009B63C6"/>
    <w:rsid w:val="009B6E3B"/>
    <w:rsid w:val="009B70EB"/>
    <w:rsid w:val="009B7435"/>
    <w:rsid w:val="009C035C"/>
    <w:rsid w:val="009C212D"/>
    <w:rsid w:val="009C37A5"/>
    <w:rsid w:val="009C3F60"/>
    <w:rsid w:val="009C5A7F"/>
    <w:rsid w:val="009C61CB"/>
    <w:rsid w:val="009D02CF"/>
    <w:rsid w:val="009D0CC8"/>
    <w:rsid w:val="009D18D1"/>
    <w:rsid w:val="009D23A1"/>
    <w:rsid w:val="009D2CDB"/>
    <w:rsid w:val="009D30B5"/>
    <w:rsid w:val="009D3DDA"/>
    <w:rsid w:val="009D3DFB"/>
    <w:rsid w:val="009D5C39"/>
    <w:rsid w:val="009D6E06"/>
    <w:rsid w:val="009D7858"/>
    <w:rsid w:val="009D7E12"/>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32F"/>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E2760"/>
    <w:rsid w:val="00BE2929"/>
    <w:rsid w:val="00BE47D4"/>
    <w:rsid w:val="00BE47FE"/>
    <w:rsid w:val="00BE67E4"/>
    <w:rsid w:val="00BE6DE0"/>
    <w:rsid w:val="00BF03F7"/>
    <w:rsid w:val="00BF2F06"/>
    <w:rsid w:val="00BF3660"/>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DC3"/>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417E"/>
    <w:rsid w:val="00CE4CE5"/>
    <w:rsid w:val="00CE5F6C"/>
    <w:rsid w:val="00CE72EE"/>
    <w:rsid w:val="00CF026F"/>
    <w:rsid w:val="00CF0CA9"/>
    <w:rsid w:val="00CF120E"/>
    <w:rsid w:val="00CF20EC"/>
    <w:rsid w:val="00CF4AF7"/>
    <w:rsid w:val="00CF54E2"/>
    <w:rsid w:val="00CF6214"/>
    <w:rsid w:val="00CF6874"/>
    <w:rsid w:val="00CF7BA2"/>
    <w:rsid w:val="00D00157"/>
    <w:rsid w:val="00D009CE"/>
    <w:rsid w:val="00D01832"/>
    <w:rsid w:val="00D01DDC"/>
    <w:rsid w:val="00D038C4"/>
    <w:rsid w:val="00D0494A"/>
    <w:rsid w:val="00D04FE9"/>
    <w:rsid w:val="00D05274"/>
    <w:rsid w:val="00D06125"/>
    <w:rsid w:val="00D070BC"/>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3EBD"/>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74E8"/>
    <w:rsid w:val="00DD7EF5"/>
    <w:rsid w:val="00DE129B"/>
    <w:rsid w:val="00DE1B33"/>
    <w:rsid w:val="00DE3062"/>
    <w:rsid w:val="00DE3AA5"/>
    <w:rsid w:val="00DE5635"/>
    <w:rsid w:val="00DF1979"/>
    <w:rsid w:val="00DF1E8C"/>
    <w:rsid w:val="00DF221B"/>
    <w:rsid w:val="00DF23F9"/>
    <w:rsid w:val="00DF28ED"/>
    <w:rsid w:val="00DF3371"/>
    <w:rsid w:val="00DF3D16"/>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074A"/>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0A8E"/>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4B0D"/>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86B7F"/>
    <w:rsid w:val="02B923FE"/>
    <w:rsid w:val="02BF7C9F"/>
    <w:rsid w:val="02F71809"/>
    <w:rsid w:val="030249B1"/>
    <w:rsid w:val="03171CD9"/>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472557"/>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C93C74"/>
    <w:rsid w:val="07E152BF"/>
    <w:rsid w:val="07EF6E68"/>
    <w:rsid w:val="07FC31A3"/>
    <w:rsid w:val="08192E31"/>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1F7084"/>
    <w:rsid w:val="0B25555B"/>
    <w:rsid w:val="0B301DB6"/>
    <w:rsid w:val="0B5657C7"/>
    <w:rsid w:val="0B6837A0"/>
    <w:rsid w:val="0B7078E0"/>
    <w:rsid w:val="0B876A6B"/>
    <w:rsid w:val="0B8E095D"/>
    <w:rsid w:val="0BA01E8A"/>
    <w:rsid w:val="0BDE5511"/>
    <w:rsid w:val="0BF13340"/>
    <w:rsid w:val="0C0710D3"/>
    <w:rsid w:val="0C0B1E69"/>
    <w:rsid w:val="0C0E7B0E"/>
    <w:rsid w:val="0C363673"/>
    <w:rsid w:val="0C434CD5"/>
    <w:rsid w:val="0C7B17F2"/>
    <w:rsid w:val="0C985AFF"/>
    <w:rsid w:val="0D334F58"/>
    <w:rsid w:val="0D3F525D"/>
    <w:rsid w:val="0D422E5F"/>
    <w:rsid w:val="0D606BBE"/>
    <w:rsid w:val="0D711657"/>
    <w:rsid w:val="0D926941"/>
    <w:rsid w:val="0D95434C"/>
    <w:rsid w:val="0D990B70"/>
    <w:rsid w:val="0DCA798F"/>
    <w:rsid w:val="0DE03E72"/>
    <w:rsid w:val="0DE272C5"/>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F00FD"/>
    <w:rsid w:val="0FA46529"/>
    <w:rsid w:val="0FA874C5"/>
    <w:rsid w:val="0FB12275"/>
    <w:rsid w:val="0FB57113"/>
    <w:rsid w:val="0FCF4613"/>
    <w:rsid w:val="0FD24972"/>
    <w:rsid w:val="0FD74C23"/>
    <w:rsid w:val="100638C2"/>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E16A0"/>
    <w:rsid w:val="120F1630"/>
    <w:rsid w:val="12174ABE"/>
    <w:rsid w:val="122D37E7"/>
    <w:rsid w:val="12387084"/>
    <w:rsid w:val="125A44E8"/>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5F0DC0"/>
    <w:rsid w:val="156137B0"/>
    <w:rsid w:val="156C183F"/>
    <w:rsid w:val="158C17BA"/>
    <w:rsid w:val="15B2147A"/>
    <w:rsid w:val="16210F76"/>
    <w:rsid w:val="16223E19"/>
    <w:rsid w:val="163C32C6"/>
    <w:rsid w:val="16422AD0"/>
    <w:rsid w:val="168D09DF"/>
    <w:rsid w:val="168E40CE"/>
    <w:rsid w:val="16AC08C8"/>
    <w:rsid w:val="16BC2679"/>
    <w:rsid w:val="16EA7F32"/>
    <w:rsid w:val="17290637"/>
    <w:rsid w:val="174734AB"/>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AF43DB"/>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6D7375"/>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FE2694"/>
    <w:rsid w:val="1C1074FA"/>
    <w:rsid w:val="1C460FFD"/>
    <w:rsid w:val="1C4B79F0"/>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2F3648"/>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13EF3"/>
    <w:rsid w:val="26351ED3"/>
    <w:rsid w:val="26473203"/>
    <w:rsid w:val="26561B11"/>
    <w:rsid w:val="267F3653"/>
    <w:rsid w:val="268C6311"/>
    <w:rsid w:val="26AC70C6"/>
    <w:rsid w:val="26B66114"/>
    <w:rsid w:val="26F7634C"/>
    <w:rsid w:val="2709221E"/>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C14462"/>
    <w:rsid w:val="28F509FE"/>
    <w:rsid w:val="290A6E57"/>
    <w:rsid w:val="29130F00"/>
    <w:rsid w:val="291A14E9"/>
    <w:rsid w:val="294603EC"/>
    <w:rsid w:val="294A4DD2"/>
    <w:rsid w:val="294C44CD"/>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AD4098"/>
    <w:rsid w:val="2CF4608A"/>
    <w:rsid w:val="2D1E069A"/>
    <w:rsid w:val="2D253C18"/>
    <w:rsid w:val="2D31546A"/>
    <w:rsid w:val="2D4F7CC4"/>
    <w:rsid w:val="2D595FCE"/>
    <w:rsid w:val="2D5E717D"/>
    <w:rsid w:val="2D765CB0"/>
    <w:rsid w:val="2DA74888"/>
    <w:rsid w:val="2DB8657A"/>
    <w:rsid w:val="2DCC4ACD"/>
    <w:rsid w:val="2DD512B8"/>
    <w:rsid w:val="2E2864AF"/>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301A0002"/>
    <w:rsid w:val="30320746"/>
    <w:rsid w:val="3069714F"/>
    <w:rsid w:val="307D78E9"/>
    <w:rsid w:val="30881421"/>
    <w:rsid w:val="308B2D36"/>
    <w:rsid w:val="30A036ED"/>
    <w:rsid w:val="30A642EC"/>
    <w:rsid w:val="30AA26C6"/>
    <w:rsid w:val="30AE4D85"/>
    <w:rsid w:val="31134756"/>
    <w:rsid w:val="311A4F41"/>
    <w:rsid w:val="312967F0"/>
    <w:rsid w:val="31376F08"/>
    <w:rsid w:val="313976E9"/>
    <w:rsid w:val="314503CA"/>
    <w:rsid w:val="31722EFF"/>
    <w:rsid w:val="31826E30"/>
    <w:rsid w:val="318E5C1C"/>
    <w:rsid w:val="31D22B9D"/>
    <w:rsid w:val="31F15525"/>
    <w:rsid w:val="32192AF6"/>
    <w:rsid w:val="32317070"/>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81627F"/>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4032A"/>
    <w:rsid w:val="350E3A8A"/>
    <w:rsid w:val="35184FD1"/>
    <w:rsid w:val="351E2138"/>
    <w:rsid w:val="352E4F36"/>
    <w:rsid w:val="35445297"/>
    <w:rsid w:val="358135A9"/>
    <w:rsid w:val="35965281"/>
    <w:rsid w:val="35A61154"/>
    <w:rsid w:val="35D438A7"/>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90E0262"/>
    <w:rsid w:val="39187722"/>
    <w:rsid w:val="391B1354"/>
    <w:rsid w:val="391B66A7"/>
    <w:rsid w:val="392D266D"/>
    <w:rsid w:val="394B58E3"/>
    <w:rsid w:val="397C2BB5"/>
    <w:rsid w:val="398B5316"/>
    <w:rsid w:val="39C5102A"/>
    <w:rsid w:val="39CD2F4D"/>
    <w:rsid w:val="39D0456C"/>
    <w:rsid w:val="39D049A7"/>
    <w:rsid w:val="39D9079F"/>
    <w:rsid w:val="39FD0AAE"/>
    <w:rsid w:val="3A0458D2"/>
    <w:rsid w:val="3A3D6AFC"/>
    <w:rsid w:val="3A413A43"/>
    <w:rsid w:val="3A413D14"/>
    <w:rsid w:val="3A551B23"/>
    <w:rsid w:val="3A713201"/>
    <w:rsid w:val="3A8C19CF"/>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C75462"/>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F208F"/>
    <w:rsid w:val="46C27154"/>
    <w:rsid w:val="46CB1D8A"/>
    <w:rsid w:val="46E44FE1"/>
    <w:rsid w:val="4713701D"/>
    <w:rsid w:val="472C328E"/>
    <w:rsid w:val="47392A3A"/>
    <w:rsid w:val="476A6681"/>
    <w:rsid w:val="476B776A"/>
    <w:rsid w:val="47731BFC"/>
    <w:rsid w:val="47891385"/>
    <w:rsid w:val="47892946"/>
    <w:rsid w:val="479557D8"/>
    <w:rsid w:val="479A4EA3"/>
    <w:rsid w:val="47C80031"/>
    <w:rsid w:val="47CB053E"/>
    <w:rsid w:val="47CF5DDA"/>
    <w:rsid w:val="47D4105D"/>
    <w:rsid w:val="47E201CE"/>
    <w:rsid w:val="47E70E32"/>
    <w:rsid w:val="47FD0FFA"/>
    <w:rsid w:val="48031317"/>
    <w:rsid w:val="48060B3C"/>
    <w:rsid w:val="481406F4"/>
    <w:rsid w:val="48220B2A"/>
    <w:rsid w:val="48604A08"/>
    <w:rsid w:val="489D5D47"/>
    <w:rsid w:val="48A8162E"/>
    <w:rsid w:val="48AB5C1B"/>
    <w:rsid w:val="48D25FD9"/>
    <w:rsid w:val="48DF7812"/>
    <w:rsid w:val="48E87EBD"/>
    <w:rsid w:val="48FC2AE5"/>
    <w:rsid w:val="49166A23"/>
    <w:rsid w:val="493468D6"/>
    <w:rsid w:val="494B0A69"/>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411E26"/>
    <w:rsid w:val="4B744C54"/>
    <w:rsid w:val="4B9B6D58"/>
    <w:rsid w:val="4BAB046D"/>
    <w:rsid w:val="4BEB39D1"/>
    <w:rsid w:val="4BEE30E7"/>
    <w:rsid w:val="4BF7491D"/>
    <w:rsid w:val="4BFC0915"/>
    <w:rsid w:val="4C486C01"/>
    <w:rsid w:val="4C5152B7"/>
    <w:rsid w:val="4C54029E"/>
    <w:rsid w:val="4C5D21E2"/>
    <w:rsid w:val="4C63338E"/>
    <w:rsid w:val="4C7A20E3"/>
    <w:rsid w:val="4CA854F0"/>
    <w:rsid w:val="4CEF445F"/>
    <w:rsid w:val="4D5F358E"/>
    <w:rsid w:val="4D946590"/>
    <w:rsid w:val="4DA76A46"/>
    <w:rsid w:val="4DE156B3"/>
    <w:rsid w:val="4DEB794F"/>
    <w:rsid w:val="4E15741C"/>
    <w:rsid w:val="4E2E2B91"/>
    <w:rsid w:val="4E5307CA"/>
    <w:rsid w:val="4E904B1F"/>
    <w:rsid w:val="4E954DDF"/>
    <w:rsid w:val="4EC50AEF"/>
    <w:rsid w:val="4ED077DC"/>
    <w:rsid w:val="4EFA1AB4"/>
    <w:rsid w:val="4EFD0D0F"/>
    <w:rsid w:val="4F18636C"/>
    <w:rsid w:val="4F1A2B37"/>
    <w:rsid w:val="4F2938BB"/>
    <w:rsid w:val="4F397766"/>
    <w:rsid w:val="4F6335B2"/>
    <w:rsid w:val="4F653860"/>
    <w:rsid w:val="4F6D1D66"/>
    <w:rsid w:val="4F8D2275"/>
    <w:rsid w:val="4F9544C7"/>
    <w:rsid w:val="4FC03CA9"/>
    <w:rsid w:val="4FC07444"/>
    <w:rsid w:val="4FE22ADA"/>
    <w:rsid w:val="50086DAB"/>
    <w:rsid w:val="50211E68"/>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3F05426"/>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81619"/>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B5382"/>
    <w:rsid w:val="62661F7A"/>
    <w:rsid w:val="626E5C32"/>
    <w:rsid w:val="628E6A01"/>
    <w:rsid w:val="62904726"/>
    <w:rsid w:val="62B0628B"/>
    <w:rsid w:val="62F9751E"/>
    <w:rsid w:val="631817F6"/>
    <w:rsid w:val="63273414"/>
    <w:rsid w:val="63542877"/>
    <w:rsid w:val="635D53DE"/>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B4D9E"/>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07C8"/>
    <w:rsid w:val="68DA599F"/>
    <w:rsid w:val="690C1FF9"/>
    <w:rsid w:val="691E4C71"/>
    <w:rsid w:val="693249F0"/>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B7BC3"/>
    <w:rsid w:val="6F7A2BFE"/>
    <w:rsid w:val="6F956418"/>
    <w:rsid w:val="6FA678D7"/>
    <w:rsid w:val="6FD527A1"/>
    <w:rsid w:val="70063C90"/>
    <w:rsid w:val="70094468"/>
    <w:rsid w:val="703B6064"/>
    <w:rsid w:val="70473A60"/>
    <w:rsid w:val="706C2BC9"/>
    <w:rsid w:val="70781557"/>
    <w:rsid w:val="707920C3"/>
    <w:rsid w:val="70A05883"/>
    <w:rsid w:val="70B14EDF"/>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51F04AC"/>
    <w:rsid w:val="754023FF"/>
    <w:rsid w:val="754A14A2"/>
    <w:rsid w:val="75921CEB"/>
    <w:rsid w:val="75A0441A"/>
    <w:rsid w:val="75C91B42"/>
    <w:rsid w:val="75CD4AD3"/>
    <w:rsid w:val="75D120EB"/>
    <w:rsid w:val="75ED687C"/>
    <w:rsid w:val="76085B36"/>
    <w:rsid w:val="7609105F"/>
    <w:rsid w:val="76241941"/>
    <w:rsid w:val="762B6A28"/>
    <w:rsid w:val="763444AF"/>
    <w:rsid w:val="763703E4"/>
    <w:rsid w:val="763E1354"/>
    <w:rsid w:val="766E64DB"/>
    <w:rsid w:val="76703500"/>
    <w:rsid w:val="76732D1E"/>
    <w:rsid w:val="76D74AD4"/>
    <w:rsid w:val="77013E25"/>
    <w:rsid w:val="772F460B"/>
    <w:rsid w:val="773A0571"/>
    <w:rsid w:val="779E6C12"/>
    <w:rsid w:val="77A8124D"/>
    <w:rsid w:val="77B16162"/>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8FC14B1"/>
    <w:rsid w:val="793648DC"/>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9E6873"/>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Document Map"/>
    <w:basedOn w:val="1"/>
    <w:link w:val="29"/>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Plain Text"/>
    <w:basedOn w:val="1"/>
    <w:link w:val="23"/>
    <w:qFormat/>
    <w:uiPriority w:val="0"/>
    <w:rPr>
      <w:rFonts w:ascii="宋体" w:hAnsi="Courier New" w:cs="Courier New"/>
      <w:szCs w:val="21"/>
    </w:rPr>
  </w:style>
  <w:style w:type="paragraph" w:styleId="8">
    <w:name w:val="Date"/>
    <w:basedOn w:val="1"/>
    <w:next w:val="1"/>
    <w:qFormat/>
    <w:uiPriority w:val="0"/>
    <w:pPr>
      <w:ind w:left="100" w:leftChars="2500"/>
    </w:pPr>
    <w:rPr>
      <w:rFonts w:ascii="宋体" w:hAnsi="宋体"/>
      <w:color w:val="FF6600"/>
      <w:kern w:val="0"/>
      <w:sz w:val="24"/>
    </w:rPr>
  </w:style>
  <w:style w:type="paragraph" w:styleId="9">
    <w:name w:val="Body Text Indent 2"/>
    <w:basedOn w:val="1"/>
    <w:link w:val="22"/>
    <w:qFormat/>
    <w:uiPriority w:val="0"/>
    <w:pPr>
      <w:spacing w:after="120" w:line="480" w:lineRule="auto"/>
      <w:ind w:left="420" w:leftChars="2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4"/>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kern w:val="0"/>
      <w:sz w:val="24"/>
    </w:rPr>
  </w:style>
  <w:style w:type="paragraph" w:styleId="15">
    <w:name w:val="annotation subject"/>
    <w:basedOn w:val="4"/>
    <w:next w:val="4"/>
    <w:qFormat/>
    <w:uiPriority w:val="0"/>
    <w:rPr>
      <w:b/>
      <w:bCs/>
    </w:rPr>
  </w:style>
  <w:style w:type="character" w:styleId="18">
    <w:name w:val="page number"/>
    <w:basedOn w:val="17"/>
    <w:qFormat/>
    <w:uiPriority w:val="0"/>
  </w:style>
  <w:style w:type="character" w:styleId="19">
    <w:name w:val="Emphasis"/>
    <w:basedOn w:val="17"/>
    <w:qFormat/>
    <w:uiPriority w:val="0"/>
    <w:rPr>
      <w:i/>
    </w:rPr>
  </w:style>
  <w:style w:type="character" w:styleId="20">
    <w:name w:val="Hyperlink"/>
    <w:basedOn w:val="17"/>
    <w:qFormat/>
    <w:uiPriority w:val="0"/>
    <w:rPr>
      <w:color w:val="0000FF"/>
      <w:u w:val="single"/>
    </w:rPr>
  </w:style>
  <w:style w:type="character" w:styleId="21">
    <w:name w:val="annotation reference"/>
    <w:basedOn w:val="17"/>
    <w:qFormat/>
    <w:uiPriority w:val="0"/>
    <w:rPr>
      <w:sz w:val="21"/>
      <w:szCs w:val="21"/>
    </w:rPr>
  </w:style>
  <w:style w:type="character" w:customStyle="1" w:styleId="22">
    <w:name w:val="正文文本缩进 2 字符"/>
    <w:basedOn w:val="17"/>
    <w:link w:val="9"/>
    <w:qFormat/>
    <w:uiPriority w:val="0"/>
    <w:rPr>
      <w:kern w:val="2"/>
      <w:sz w:val="21"/>
      <w:szCs w:val="24"/>
    </w:rPr>
  </w:style>
  <w:style w:type="character" w:customStyle="1" w:styleId="23">
    <w:name w:val="纯文本 字符"/>
    <w:basedOn w:val="17"/>
    <w:link w:val="7"/>
    <w:qFormat/>
    <w:uiPriority w:val="0"/>
    <w:rPr>
      <w:rFonts w:ascii="宋体" w:hAnsi="Courier New" w:cs="Courier New"/>
      <w:kern w:val="2"/>
      <w:sz w:val="21"/>
      <w:szCs w:val="21"/>
    </w:rPr>
  </w:style>
  <w:style w:type="character" w:customStyle="1" w:styleId="24">
    <w:name w:val="正文文本缩进 3 字符"/>
    <w:basedOn w:val="17"/>
    <w:link w:val="13"/>
    <w:qFormat/>
    <w:uiPriority w:val="0"/>
    <w:rPr>
      <w:kern w:val="2"/>
      <w:sz w:val="16"/>
      <w:szCs w:val="16"/>
    </w:rPr>
  </w:style>
  <w:style w:type="paragraph" w:customStyle="1" w:styleId="2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6">
    <w:name w:val="List Paragraph"/>
    <w:basedOn w:val="1"/>
    <w:qFormat/>
    <w:uiPriority w:val="34"/>
    <w:pPr>
      <w:ind w:firstLine="420" w:firstLineChars="200"/>
    </w:pPr>
  </w:style>
  <w:style w:type="paragraph" w:customStyle="1" w:styleId="27">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正文文本缩进 2 Char1"/>
    <w:basedOn w:val="17"/>
    <w:semiHidden/>
    <w:qFormat/>
    <w:locked/>
    <w:uiPriority w:val="0"/>
    <w:rPr>
      <w:kern w:val="2"/>
      <w:sz w:val="21"/>
      <w:szCs w:val="24"/>
    </w:rPr>
  </w:style>
  <w:style w:type="character" w:customStyle="1" w:styleId="29">
    <w:name w:val="文档结构图 字符"/>
    <w:basedOn w:val="17"/>
    <w:link w:val="3"/>
    <w:qFormat/>
    <w:uiPriority w:val="0"/>
    <w:rPr>
      <w:rFonts w:ascii="宋体"/>
      <w:kern w:val="2"/>
      <w:sz w:val="18"/>
      <w:szCs w:val="18"/>
    </w:rPr>
  </w:style>
  <w:style w:type="paragraph" w:customStyle="1" w:styleId="30">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6"/>
    <customShpInfo spid="_x0000_s1033"/>
    <customShpInfo spid="_x0000_s1042"/>
    <customShpInfo spid="_x0000_s1044"/>
    <customShpInfo spid="_x0000_s104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13</Pages>
  <Words>6183</Words>
  <Characters>6542</Characters>
  <Lines>50</Lines>
  <Paragraphs>14</Paragraphs>
  <TotalTime>27</TotalTime>
  <ScaleCrop>false</ScaleCrop>
  <LinksUpToDate>false</LinksUpToDate>
  <CharactersWithSpaces>6804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2023-04-07T06:59:52Z</dcterms:modified>
  <dc:title>《质量手册》批准发布令</dc:title>
  <cp:revision>1350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